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eastAsia="仿宋_GB2312"/>
          <w:szCs w:val="32"/>
        </w:rPr>
      </w:pPr>
      <w:bookmarkStart w:id="4" w:name="_GoBack"/>
      <w:bookmarkEnd w:id="4"/>
    </w:p>
    <w:p>
      <w:pPr>
        <w:adjustRightInd w:val="0"/>
        <w:snapToGrid w:val="0"/>
        <w:spacing w:line="600" w:lineRule="exact"/>
        <w:rPr>
          <w:rFonts w:ascii="仿宋_GB2312" w:eastAsia="仿宋_GB2312"/>
          <w:szCs w:val="32"/>
        </w:rPr>
      </w:pPr>
    </w:p>
    <w:p>
      <w:pPr>
        <w:adjustRightInd w:val="0"/>
        <w:snapToGrid w:val="0"/>
        <w:spacing w:line="600" w:lineRule="exact"/>
        <w:rPr>
          <w:rFonts w:ascii="仿宋_GB2312" w:eastAsia="仿宋_GB2312"/>
          <w:szCs w:val="32"/>
        </w:rPr>
      </w:pPr>
    </w:p>
    <w:p>
      <w:pPr>
        <w:jc w:val="center"/>
        <w:rPr>
          <w:rFonts w:ascii="方正小标宋简体" w:eastAsia="方正小标宋简体"/>
          <w:color w:val="FF0000"/>
          <w:spacing w:val="100"/>
          <w:sz w:val="72"/>
          <w:szCs w:val="72"/>
        </w:rPr>
      </w:pPr>
      <w:r>
        <w:rPr>
          <w:rFonts w:hint="eastAsia" w:ascii="方正小标宋简体" w:eastAsia="方正小标宋简体"/>
          <w:color w:val="FF0000"/>
          <w:spacing w:val="100"/>
          <w:sz w:val="72"/>
          <w:szCs w:val="72"/>
        </w:rPr>
        <w:t>北京体育大学文件</w:t>
      </w:r>
    </w:p>
    <w:p>
      <w:pPr>
        <w:adjustRightInd w:val="0"/>
        <w:snapToGrid w:val="0"/>
        <w:spacing w:line="560" w:lineRule="exact"/>
        <w:rPr>
          <w:szCs w:val="32"/>
        </w:rPr>
      </w:pPr>
    </w:p>
    <w:p>
      <w:pPr>
        <w:rPr>
          <w:szCs w:val="32"/>
        </w:rPr>
      </w:pPr>
    </w:p>
    <w:tbl>
      <w:tblPr>
        <w:tblStyle w:val="6"/>
        <w:tblpPr w:leftFromText="180" w:rightFromText="180" w:vertAnchor="text" w:horzAnchor="margin" w:tblpY="32"/>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039" w:type="dxa"/>
          </w:tcPr>
          <w:p>
            <w:pPr>
              <w:tabs>
                <w:tab w:val="center" w:pos="4411"/>
              </w:tabs>
              <w:jc w:val="center"/>
              <w:rPr>
                <w:rFonts w:ascii="仿宋_GB2312" w:hAnsi="楷体" w:eastAsia="仿宋_GB2312"/>
                <w:szCs w:val="32"/>
              </w:rPr>
            </w:pPr>
            <w:bookmarkStart w:id="0" w:name="doc_mark"/>
            <w:r>
              <w:rPr>
                <w:rFonts w:hint="eastAsia" w:ascii="仿宋_GB2312" w:hAnsi="楷体" w:eastAsia="仿宋_GB2312"/>
                <w:szCs w:val="32"/>
              </w:rPr>
              <w:t>北体字〔</w:t>
            </w:r>
            <w:r>
              <w:rPr>
                <w:rFonts w:ascii="仿宋_GB2312" w:hAnsi="楷体" w:eastAsia="仿宋_GB2312"/>
                <w:szCs w:val="32"/>
              </w:rPr>
              <w:t>2017〕46号</w:t>
            </w:r>
            <w:bookmarkEnd w:id="0"/>
            <w:r>
              <w:rPr>
                <w:rFonts w:ascii="仿宋_GB2312" w:hAnsi="仿宋" w:eastAsia="仿宋_GB2312"/>
                <w:szCs w:val="32"/>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243205</wp:posOffset>
                      </wp:positionV>
                      <wp:extent cx="9525" cy="158115"/>
                      <wp:effectExtent l="13335" t="5080" r="5715" b="8255"/>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9525" cy="158115"/>
                              </a:xfrm>
                              <a:prstGeom prst="straightConnector1">
                                <a:avLst/>
                              </a:prstGeom>
                              <a:noFill/>
                              <a:ln w="9525">
                                <a:solidFill>
                                  <a:schemeClr val="bg1">
                                    <a:lumMod val="100000"/>
                                    <a:lumOff val="0"/>
                                  </a:schemeClr>
                                </a:solidFill>
                                <a:round/>
                              </a:ln>
                            </wps:spPr>
                            <wps:bodyPr/>
                          </wps:wsp>
                        </a:graphicData>
                      </a:graphic>
                    </wp:anchor>
                  </w:drawing>
                </mc:Choice>
                <mc:Fallback>
                  <w:pict>
                    <v:shape id="AutoShape 2" o:spid="_x0000_s1026" o:spt="32" type="#_x0000_t32" style="position:absolute;left:0pt;margin-left:238.8pt;margin-top:19.15pt;height:12.45pt;width:0.75pt;z-index:251658240;mso-width-relative:page;mso-height-relative:page;" filled="f" stroked="t" coordsize="21600,21600" o:gfxdata="UEsDBAoAAAAAAIdO4kAAAAAAAAAAAAAAAAAEAAAAZHJzL1BLAwQUAAAACACHTuJAKgllj9cAAAAJ&#10;AQAADwAAAGRycy9kb3ducmV2LnhtbE2PQW6DMBBF95V6B2sqddfYBASUYrKIVKmbSCXlAA6eAoo9&#10;Rtghye3rrtrl6D/9/6be3axhKy5+ciQh2QhgSL3TEw0Suq/3lxKYD4q0Mo5Qwh097JrHh1pV2l2p&#10;xfUYBhZLyFdKwhjCXHHu+xGt8hs3I8Xs2y1WhXguA9eLusZya/hWiJxbNVFcGNWM+xH78/FiJZx9&#10;2/Lu8CnWMvvwqTncLXZ7KZ+fEvEGLOAt/MHwqx/VoYlOJ3ch7ZmRkBVFHlEJaZkCi0BWvCbAThLy&#10;dAu8qfn/D5ofUEsDBBQAAAAIAIdO4kB+YErmzwEAAJwDAAAOAAAAZHJzL2Uyb0RvYy54bWytU8Fu&#10;2zAMvQ/YPwi6L7YDpOiMOEWRIrt0W4B2H6DIsi1MEgVKiZ2/HyUnWbvdhukgmKT4SD4+rx8ma9hJ&#10;YdDgGl4tSs6Uk9Bq1zf8x+vu0z1nIQrXCgNONfysAn/YfPywHn2tljCAaRUyAnGhHn3Dhxh9XRRB&#10;DsqKsACvHAU7QCsimdgXLYqR0K0plmV5V4yArUeQKgTyPs1Bvsn4Xadk/N51QUVmGk69xXxjvg/p&#10;LjZrUfco/KDlpQ3xD11YoR0VvUE9iSjYEfVfUFZLhABdXEiwBXSdlirPQNNU5R/TvAzCqzwLkRP8&#10;jabw/2Dlt9MemW4bfseZE5ZW9HiMkCuzZaJn9KGmV1u3xzSgnNyLfwb5MzAH20G4XuXHr2dPuVXK&#10;KN6lJCN4KnIYv0JLbwThZ66mDm2CJBbYlFdyvq1ETZFJcn5eLVecSQpUq/uqWmV8UV9TPYb4RYFl&#10;6aPhIaLQ/RC34BytHrDKhcTpOcTUmKivCamug502JivAODZeiqVIAKPbFMwG9oetQXYSpKFdPhnV&#10;HC0NNLurMp1ZTeQnzc3+7KKyYcbILbwDRzi6dm7NuAt1ia2Z9wO05z1eKSUJZICLXJPG3to5+/dP&#10;t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gllj9cAAAAJAQAADwAAAAAAAAABACAAAAAiAAAA&#10;ZHJzL2Rvd25yZXYueG1sUEsBAhQAFAAAAAgAh07iQH5gSubPAQAAnAMAAA4AAAAAAAAAAQAgAAAA&#10;JgEAAGRycy9lMm9Eb2MueG1sUEsFBgAAAAAGAAYAWQEAAGcFAAAAAA==&#10;">
                      <v:fill on="f" focussize="0,0"/>
                      <v:stroke color="#FFFFFF [3228]" joinstyle="round"/>
                      <v:imagedata o:title=""/>
                      <o:lock v:ext="edit" aspectratio="f"/>
                    </v:shape>
                  </w:pict>
                </mc:Fallback>
              </mc:AlternateContent>
            </w:r>
          </w:p>
        </w:tc>
      </w:tr>
    </w:tbl>
    <w:p>
      <w:pPr>
        <w:adjustRightInd w:val="0"/>
        <w:snapToGrid w:val="0"/>
        <w:spacing w:line="400" w:lineRule="exact"/>
        <w:jc w:val="left"/>
        <w:rPr>
          <w:rFonts w:ascii="仿宋_GB2312" w:eastAsia="仿宋_GB2312"/>
        </w:rPr>
      </w:pPr>
      <w:r>
        <w:rPr>
          <w:rFonts w:ascii="仿宋_GB2312" w:eastAsia="仿宋_GB2312"/>
        </w:rPr>
        <mc:AlternateContent>
          <mc:Choice Requires="wps">
            <w:drawing>
              <wp:anchor distT="0" distB="0" distL="114300" distR="114300" simplePos="0" relativeHeight="251667456" behindDoc="0" locked="0" layoutInCell="1" allowOverlap="1">
                <wp:simplePos x="0" y="0"/>
                <wp:positionH relativeFrom="margin">
                  <wp:posOffset>1270</wp:posOffset>
                </wp:positionH>
                <wp:positionV relativeFrom="line">
                  <wp:posOffset>461645</wp:posOffset>
                </wp:positionV>
                <wp:extent cx="5615940" cy="0"/>
                <wp:effectExtent l="10795" t="13970" r="12065" b="14605"/>
                <wp:wrapNone/>
                <wp:docPr id="5" name="AutoShap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ln>
                      </wps:spPr>
                      <wps:bodyPr/>
                    </wps:wsp>
                  </a:graphicData>
                </a:graphic>
              </wp:anchor>
            </w:drawing>
          </mc:Choice>
          <mc:Fallback>
            <w:pict>
              <v:shape id="AutoShape 3" o:spid="_x0000_s1026" o:spt="32" type="#_x0000_t32" style="position:absolute;left:0pt;margin-left:0.1pt;margin-top:36.35pt;height:0pt;width:442.2pt;mso-position-horizontal-relative:margin;mso-position-vertical-relative:line;z-index:251667456;mso-width-relative:page;mso-height-relative:page;" filled="f" stroked="t" coordsize="21600,21600" o:gfxdata="UEsDBAoAAAAAAIdO4kAAAAAAAAAAAAAAAAAEAAAAZHJzL1BLAwQUAAAACACHTuJAnApgHdMAAAAG&#10;AQAADwAAAGRycy9kb3ducmV2LnhtbE2OzU7DMBCE70i8g7VI3KjTqGpDyKZCUE4gKhrE2Y2XJCJe&#10;G9tpy9tjxAGO86OZr1qfzCgO5MNgGWE+y0AQt1YP3CG8Ng9XBYgQFWs1WiaELwqwrs/PKlVqe+QX&#10;OuxiJ9IIh1Ih9DG6UsrQ9mRUmFlHnLJ3642KSfpOaq+OadyMMs+ypTRq4PTQK0d3PbUfu8kgLN6e&#10;nbOb+2Z7u7lutKXH6enTI15ezLMbEJFO8a8MP/gJHerEtLcT6yBGhDz1EFb5CkRKi2KxBLH/NWRd&#10;yf/49TdQSwMEFAAAAAgAh07iQK87Rli9AQAAZQMAAA4AAABkcnMvZTJvRG9jLnhtbK1TTY/bIBC9&#10;V+p/QNwb29tm1bXirKqs0su2jbTbH0AA22iBQQOJk3/fgXx0296q9QEZZt6beW9gcX9wlu01RgO+&#10;482s5kx7Ccr4oeM/n9cfPnMWk/BKWPC640cd+f3y/bvFFFp9AyNYpZERiY/tFDo+phTaqopy1E7E&#10;GQTtKdgDOpFoi0OlUEzE7mx1U9e31QSoAoLUMdLpwynIl4W/77VMP/o+6sRsx6m3VFYs6zav1XIh&#10;2gFFGI08tyH+owsnjKeiV6oHkQTbofmHyhmJEKFPMwmugr43UhcNpKap/1LzNIqgixYyJ4arTfHt&#10;aOX3/QaZUR2fc+aFoxF92SUoldnHbM8UYktZK7/BLFAe/FN4BPkSmYfVKPygS/LzMRC2yYjqD0je&#10;xEBFttM3UJQjiL94dejRZUpygR3KSI7XkehDYpIO57fN/O4TTU5eYpVoL8CAMX3V4Fj+6XhMKMww&#10;phV4T4MHbEoZsX+MKbcl2gsgV/WwNtaW+VvPJur9rp7XBRHBGpWjOS/isF1ZZHtBV2i9rukrIiny&#10;Og1h59WpivVnD7Lsk4FbUMcNXryhWZZ2zvcuX5bX+4L+/Tq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CmAd0wAAAAYBAAAPAAAAAAAAAAEAIAAAACIAAABkcnMvZG93bnJldi54bWxQSwECFAAU&#10;AAAACACHTuJArztGWL0BAABlAwAADgAAAAAAAAABACAAAAAiAQAAZHJzL2Uyb0RvYy54bWxQSwUG&#10;AAAAAAYABgBZAQAAUQUAAAAA&#10;">
                <v:fill on="f" focussize="0,0"/>
                <v:stroke weight="1.5pt" color="#FF0000" joinstyle="round"/>
                <v:imagedata o:title=""/>
                <o:lock v:ext="edit" aspectratio="f"/>
              </v:shape>
            </w:pict>
          </mc:Fallback>
        </mc:AlternateContent>
      </w:r>
    </w:p>
    <w:p>
      <w:pPr>
        <w:adjustRightInd w:val="0"/>
        <w:snapToGrid w:val="0"/>
        <w:spacing w:line="400" w:lineRule="exact"/>
        <w:jc w:val="left"/>
        <w:rPr>
          <w:rFonts w:ascii="仿宋_GB2312" w:eastAsia="仿宋_GB2312"/>
        </w:rPr>
      </w:pPr>
    </w:p>
    <w:p>
      <w:pPr>
        <w:adjustRightInd w:val="0"/>
        <w:snapToGrid w:val="0"/>
        <w:spacing w:line="560" w:lineRule="exact"/>
        <w:jc w:val="center"/>
        <w:rPr>
          <w:rFonts w:ascii="方正小标宋简体" w:eastAsia="方正小标宋简体"/>
          <w:sz w:val="44"/>
          <w:szCs w:val="44"/>
        </w:rPr>
      </w:pPr>
      <w:bookmarkStart w:id="1" w:name="subject"/>
      <w:r>
        <w:rPr>
          <w:rFonts w:hint="eastAsia" w:ascii="方正小标宋简体" w:eastAsia="方正小标宋简体"/>
          <w:sz w:val="44"/>
          <w:szCs w:val="44"/>
        </w:rPr>
        <w:t>北京体育大学关于印发鼓励</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毕业生面向基层就业的</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奖励办法的通知</w:t>
      </w:r>
    </w:p>
    <w:p>
      <w:pPr>
        <w:adjustRightInd w:val="0"/>
        <w:snapToGrid w:val="0"/>
        <w:spacing w:line="400" w:lineRule="exact"/>
        <w:jc w:val="center"/>
        <w:rPr>
          <w:rFonts w:ascii="方正小标宋简体" w:eastAsia="方正小标宋简体"/>
          <w:sz w:val="44"/>
          <w:szCs w:val="44"/>
        </w:rPr>
      </w:pPr>
    </w:p>
    <w:p>
      <w:pPr>
        <w:adjustRightInd w:val="0"/>
        <w:snapToGrid w:val="0"/>
        <w:spacing w:line="560" w:lineRule="exact"/>
        <w:jc w:val="left"/>
        <w:rPr>
          <w:rFonts w:ascii="仿宋_GB2312" w:eastAsia="仿宋_GB2312"/>
          <w:szCs w:val="32"/>
        </w:rPr>
      </w:pPr>
      <w:r>
        <w:rPr>
          <w:rFonts w:hint="eastAsia" w:ascii="仿宋_GB2312" w:eastAsia="仿宋_GB2312"/>
          <w:szCs w:val="32"/>
        </w:rPr>
        <w:t>各有关部门和单位：</w:t>
      </w:r>
    </w:p>
    <w:p>
      <w:pPr>
        <w:adjustRightInd w:val="0"/>
        <w:snapToGrid w:val="0"/>
        <w:spacing w:line="560" w:lineRule="exact"/>
        <w:ind w:firstLine="632" w:firstLineChars="200"/>
        <w:jc w:val="left"/>
        <w:rPr>
          <w:rFonts w:ascii="仿宋_GB2312" w:eastAsia="仿宋_GB2312"/>
          <w:szCs w:val="32"/>
        </w:rPr>
      </w:pPr>
      <w:r>
        <w:rPr>
          <w:rFonts w:hint="eastAsia" w:ascii="仿宋_GB2312" w:eastAsia="仿宋_GB2312"/>
          <w:szCs w:val="32"/>
        </w:rPr>
        <w:t>《北京体育大学关于鼓励毕业生面向基层就业的奖励办法》已经学校党委常委会审议通过。现印发给你们，请认真遵照执行。</w:t>
      </w:r>
    </w:p>
    <w:p>
      <w:pPr>
        <w:adjustRightInd w:val="0"/>
        <w:snapToGrid w:val="0"/>
        <w:spacing w:line="560" w:lineRule="exact"/>
        <w:ind w:firstLine="632" w:firstLineChars="200"/>
        <w:jc w:val="left"/>
        <w:rPr>
          <w:rFonts w:ascii="仿宋_GB2312" w:eastAsia="仿宋_GB2312"/>
          <w:szCs w:val="32"/>
        </w:rPr>
      </w:pPr>
      <w:r>
        <w:rPr>
          <w:rFonts w:hint="eastAsia" w:ascii="仿宋_GB2312" w:eastAsia="仿宋_GB2312"/>
          <w:szCs w:val="32"/>
        </w:rPr>
        <w:t>特此通知。</w:t>
      </w:r>
    </w:p>
    <w:p>
      <w:pPr>
        <w:adjustRightInd w:val="0"/>
        <w:snapToGrid w:val="0"/>
        <w:spacing w:line="560" w:lineRule="exact"/>
        <w:jc w:val="left"/>
        <w:rPr>
          <w:rFonts w:ascii="仿宋_GB2312" w:eastAsia="仿宋_GB2312"/>
          <w:szCs w:val="32"/>
        </w:rPr>
      </w:pPr>
    </w:p>
    <w:p>
      <w:pPr>
        <w:adjustRightInd w:val="0"/>
        <w:snapToGrid w:val="0"/>
        <w:spacing w:line="560" w:lineRule="exact"/>
        <w:jc w:val="left"/>
        <w:rPr>
          <w:rFonts w:ascii="仿宋_GB2312" w:eastAsia="仿宋_GB2312"/>
          <w:szCs w:val="32"/>
        </w:rPr>
      </w:pPr>
    </w:p>
    <w:p>
      <w:pPr>
        <w:adjustRightInd w:val="0"/>
        <w:snapToGrid w:val="0"/>
        <w:spacing w:line="560" w:lineRule="exact"/>
        <w:jc w:val="left"/>
        <w:rPr>
          <w:rFonts w:hint="eastAsia" w:ascii="仿宋_GB2312" w:eastAsia="仿宋_GB2312"/>
          <w:szCs w:val="32"/>
        </w:rPr>
      </w:pPr>
    </w:p>
    <w:p>
      <w:pPr>
        <w:adjustRightInd w:val="0"/>
        <w:snapToGrid w:val="0"/>
        <w:spacing w:line="560" w:lineRule="exact"/>
        <w:ind w:firstLine="5530" w:firstLineChars="1750"/>
        <w:jc w:val="left"/>
        <w:rPr>
          <w:rFonts w:ascii="仿宋_GB2312" w:eastAsia="仿宋_GB2312"/>
          <w:szCs w:val="32"/>
        </w:rPr>
      </w:pPr>
      <w:r>
        <w:rPr>
          <w:rFonts w:hint="eastAsia" w:ascii="仿宋_GB2312" w:eastAsia="仿宋_GB2312"/>
          <w:szCs w:val="32"/>
        </w:rPr>
        <w:t>北京体育大学</w:t>
      </w:r>
    </w:p>
    <w:p>
      <w:pPr>
        <w:adjustRightInd w:val="0"/>
        <w:snapToGrid w:val="0"/>
        <w:spacing w:line="560" w:lineRule="exact"/>
        <w:ind w:firstLine="5372" w:firstLineChars="1700"/>
        <w:jc w:val="left"/>
        <w:rPr>
          <w:rFonts w:ascii="仿宋_GB2312" w:eastAsia="仿宋_GB2312"/>
          <w:szCs w:val="32"/>
        </w:rPr>
      </w:pPr>
      <w:bookmarkStart w:id="2" w:name="OLE_LINK1"/>
      <w:bookmarkStart w:id="3" w:name="OLE_LINK2"/>
      <w:r>
        <w:rPr>
          <w:rFonts w:hint="eastAsia" w:ascii="仿宋_GB2312" w:eastAsia="仿宋_GB2312"/>
          <w:szCs w:val="32"/>
        </w:rPr>
        <w:t>2017年4月5日</w:t>
      </w:r>
      <w:bookmarkEnd w:id="2"/>
      <w:bookmarkEnd w:id="3"/>
      <w:r>
        <w:rPr>
          <w:rFonts w:hint="eastAsia" w:ascii="仿宋_GB2312" w:eastAsia="仿宋_GB2312"/>
          <w:szCs w:val="32"/>
        </w:rPr>
        <w:t xml:space="preserve">        </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北京体育大学关于鼓励毕业生</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面向基层就业的奖励办法</w:t>
      </w:r>
    </w:p>
    <w:bookmarkEnd w:id="1"/>
    <w:p>
      <w:pPr>
        <w:adjustRightInd w:val="0"/>
        <w:snapToGrid w:val="0"/>
        <w:spacing w:line="560" w:lineRule="exact"/>
        <w:rPr>
          <w:rFonts w:ascii="仿宋_GB2312" w:hAnsi="宋体" w:eastAsia="仿宋_GB2312"/>
          <w:color w:val="000000"/>
          <w:szCs w:val="32"/>
        </w:rPr>
      </w:pPr>
    </w:p>
    <w:p>
      <w:pPr>
        <w:adjustRightInd w:val="0"/>
        <w:snapToGrid w:val="0"/>
        <w:spacing w:line="560" w:lineRule="exact"/>
        <w:ind w:firstLine="632" w:firstLineChars="200"/>
        <w:rPr>
          <w:rFonts w:ascii="仿宋_GB2312" w:hAnsi="宋体" w:eastAsia="仿宋_GB2312"/>
          <w:color w:val="000000"/>
          <w:szCs w:val="32"/>
        </w:rPr>
      </w:pPr>
      <w:r>
        <w:rPr>
          <w:rFonts w:hint="eastAsia" w:ascii="仿宋_GB2312" w:hAnsi="宋体" w:eastAsia="仿宋_GB2312"/>
          <w:color w:val="000000"/>
          <w:szCs w:val="32"/>
        </w:rPr>
        <w:t>根据中共中央办公厅、国务院办公厅《关于进一步引导和鼓励高校毕业生到基层工作的意见》（中办发〔</w:t>
      </w:r>
      <w:r>
        <w:rPr>
          <w:rFonts w:ascii="仿宋_GB2312" w:hAnsi="宋体" w:eastAsia="仿宋_GB2312"/>
          <w:color w:val="000000"/>
          <w:szCs w:val="32"/>
        </w:rPr>
        <w:t>2016〕79号）</w:t>
      </w:r>
      <w:r>
        <w:rPr>
          <w:rFonts w:hint="eastAsia" w:ascii="仿宋_GB2312" w:hAnsi="宋体" w:eastAsia="仿宋_GB2312"/>
          <w:color w:val="000000"/>
          <w:szCs w:val="32"/>
        </w:rPr>
        <w:t>精神，结合《关于印发</w:t>
      </w:r>
      <w:r>
        <w:rPr>
          <w:rFonts w:ascii="仿宋_GB2312" w:hAnsi="宋体" w:eastAsia="仿宋_GB2312"/>
          <w:color w:val="000000"/>
          <w:szCs w:val="32"/>
        </w:rPr>
        <w:t>&lt;</w:t>
      </w:r>
      <w:r>
        <w:rPr>
          <w:rFonts w:hint="eastAsia" w:ascii="仿宋_GB2312" w:hAnsi="宋体" w:eastAsia="仿宋_GB2312"/>
          <w:color w:val="000000"/>
          <w:szCs w:val="32"/>
        </w:rPr>
        <w:t>北京体育大学落实“</w:t>
      </w:r>
      <w:r>
        <w:rPr>
          <w:rFonts w:ascii="仿宋_GB2312" w:hAnsi="宋体" w:eastAsia="仿宋_GB2312"/>
          <w:color w:val="000000"/>
          <w:szCs w:val="32"/>
        </w:rPr>
        <w:t>2016年新疆、西藏专项招录北京高校优秀毕业生”工作方案&gt;</w:t>
      </w:r>
      <w:r>
        <w:rPr>
          <w:rFonts w:hint="eastAsia" w:ascii="仿宋_GB2312" w:hAnsi="宋体" w:eastAsia="仿宋_GB2312"/>
          <w:color w:val="000000"/>
          <w:szCs w:val="32"/>
        </w:rPr>
        <w:t>的通知》（北体字〔</w:t>
      </w:r>
      <w:r>
        <w:rPr>
          <w:rFonts w:ascii="仿宋_GB2312" w:hAnsi="宋体" w:eastAsia="仿宋_GB2312"/>
          <w:color w:val="000000"/>
          <w:szCs w:val="32"/>
        </w:rPr>
        <w:t>2016〕66号）</w:t>
      </w:r>
      <w:r>
        <w:rPr>
          <w:rFonts w:hint="eastAsia" w:ascii="仿宋_GB2312" w:hAnsi="宋体" w:eastAsia="仿宋_GB2312"/>
          <w:color w:val="000000"/>
          <w:szCs w:val="32"/>
        </w:rPr>
        <w:t>要求，经研究，学校决定对到中西部地区、东北地区和艰苦边远地区等工作的毕业生实行如下奖励办法：</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一、奖励范围</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1.</w:t>
      </w:r>
      <w:r>
        <w:rPr>
          <w:rFonts w:hint="eastAsia" w:ascii="仿宋_GB2312" w:hAnsi="宋体" w:eastAsia="仿宋_GB2312"/>
          <w:color w:val="000000"/>
          <w:szCs w:val="32"/>
        </w:rPr>
        <w:t>关于对新疆、西藏专项工作招录毕业生的奖励</w:t>
      </w:r>
    </w:p>
    <w:p>
      <w:pPr>
        <w:adjustRightInd w:val="0"/>
        <w:snapToGrid w:val="0"/>
        <w:spacing w:line="560" w:lineRule="exact"/>
        <w:ind w:firstLine="632" w:firstLineChars="200"/>
        <w:rPr>
          <w:rFonts w:ascii="仿宋_GB2312" w:hAnsi="宋体" w:eastAsia="仿宋_GB2312"/>
          <w:color w:val="000000"/>
          <w:szCs w:val="32"/>
        </w:rPr>
      </w:pPr>
      <w:r>
        <w:rPr>
          <w:rFonts w:hint="eastAsia" w:ascii="仿宋_GB2312" w:hAnsi="宋体" w:eastAsia="仿宋_GB2312"/>
          <w:color w:val="000000"/>
          <w:szCs w:val="32"/>
        </w:rPr>
        <w:t>根据《关于印发</w:t>
      </w:r>
      <w:r>
        <w:rPr>
          <w:rFonts w:ascii="仿宋_GB2312" w:hAnsi="宋体" w:eastAsia="仿宋_GB2312"/>
          <w:color w:val="000000"/>
          <w:szCs w:val="32"/>
        </w:rPr>
        <w:t>&lt;</w:t>
      </w:r>
      <w:r>
        <w:rPr>
          <w:rFonts w:hint="eastAsia" w:ascii="仿宋_GB2312" w:hAnsi="宋体" w:eastAsia="仿宋_GB2312"/>
          <w:color w:val="000000"/>
          <w:szCs w:val="32"/>
        </w:rPr>
        <w:t>北京体育大学落实“</w:t>
      </w:r>
      <w:r>
        <w:rPr>
          <w:rFonts w:ascii="仿宋_GB2312" w:hAnsi="宋体" w:eastAsia="仿宋_GB2312"/>
          <w:color w:val="000000"/>
          <w:szCs w:val="32"/>
        </w:rPr>
        <w:t>2016年新疆、西藏专项招录北京高校优秀毕业生”工作方案&gt;</w:t>
      </w:r>
      <w:r>
        <w:rPr>
          <w:rFonts w:hint="eastAsia" w:ascii="仿宋_GB2312" w:hAnsi="宋体" w:eastAsia="仿宋_GB2312"/>
          <w:color w:val="000000"/>
          <w:szCs w:val="32"/>
        </w:rPr>
        <w:t>的通知》（北体字〔</w:t>
      </w:r>
      <w:r>
        <w:rPr>
          <w:rFonts w:ascii="仿宋_GB2312" w:hAnsi="宋体" w:eastAsia="仿宋_GB2312"/>
          <w:color w:val="000000"/>
          <w:szCs w:val="32"/>
        </w:rPr>
        <w:t>2016〕66号），对被专项招录到新疆、西藏的毕业生实行一次性奖励“支疆支藏就业补助金”</w:t>
      </w:r>
      <w:r>
        <w:rPr>
          <w:rFonts w:hint="eastAsia" w:ascii="仿宋_GB2312" w:hAnsi="宋体" w:eastAsia="仿宋_GB2312"/>
          <w:color w:val="000000"/>
          <w:szCs w:val="32"/>
        </w:rPr>
        <w:t>（附件1）</w:t>
      </w:r>
      <w:r>
        <w:rPr>
          <w:rFonts w:ascii="仿宋_GB2312" w:hAnsi="宋体" w:eastAsia="仿宋_GB2312"/>
          <w:color w:val="000000"/>
          <w:szCs w:val="32"/>
        </w:rPr>
        <w:t>。</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2.</w:t>
      </w:r>
      <w:r>
        <w:rPr>
          <w:rFonts w:hint="eastAsia" w:ascii="仿宋_GB2312" w:hAnsi="宋体" w:eastAsia="仿宋_GB2312"/>
          <w:color w:val="000000"/>
          <w:szCs w:val="32"/>
        </w:rPr>
        <w:t>关于对到中西部地区、东北地区和艰苦边远地区工作毕业生的奖励</w:t>
      </w:r>
    </w:p>
    <w:p>
      <w:pPr>
        <w:adjustRightInd w:val="0"/>
        <w:snapToGrid w:val="0"/>
        <w:spacing w:line="560" w:lineRule="exact"/>
        <w:ind w:firstLine="632" w:firstLineChars="200"/>
        <w:rPr>
          <w:rFonts w:ascii="仿宋_GB2312" w:hAnsi="宋体" w:eastAsia="仿宋_GB2312"/>
          <w:color w:val="000000"/>
          <w:szCs w:val="32"/>
        </w:rPr>
      </w:pPr>
      <w:r>
        <w:rPr>
          <w:rFonts w:hint="eastAsia" w:ascii="仿宋_GB2312" w:hAnsi="宋体" w:eastAsia="仿宋_GB2312"/>
          <w:color w:val="000000"/>
          <w:szCs w:val="32"/>
        </w:rPr>
        <w:t>根据国务院扶贫开发领导小组办公室发布的《国家扶贫开发工作重点县名单》</w:t>
      </w:r>
      <w:r>
        <w:rPr>
          <w:rFonts w:ascii="仿宋_GB2312" w:hAnsi="宋体" w:eastAsia="仿宋_GB2312"/>
          <w:color w:val="000000"/>
          <w:szCs w:val="32"/>
        </w:rPr>
        <w:t>(附件2)</w:t>
      </w:r>
      <w:r>
        <w:rPr>
          <w:rFonts w:hint="eastAsia" w:ascii="仿宋_GB2312" w:hAnsi="宋体" w:eastAsia="仿宋_GB2312"/>
          <w:color w:val="000000"/>
          <w:szCs w:val="32"/>
        </w:rPr>
        <w:t>，对到中西部地区、东北地区和艰苦边远地区国家扶贫开发工作重点县工作，以及被该部分地区“村官”项目录用的毕业生实行一次性奖励（附件1）。</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3.</w:t>
      </w:r>
      <w:r>
        <w:rPr>
          <w:rFonts w:hint="eastAsia" w:ascii="仿宋_GB2312" w:hAnsi="宋体" w:eastAsia="仿宋_GB2312"/>
          <w:color w:val="000000"/>
          <w:szCs w:val="32"/>
        </w:rPr>
        <w:t>关于对到北京以外地区担任“村官”毕业生的奖励</w:t>
      </w:r>
    </w:p>
    <w:p>
      <w:pPr>
        <w:adjustRightInd w:val="0"/>
        <w:snapToGrid w:val="0"/>
        <w:spacing w:line="560" w:lineRule="exact"/>
        <w:ind w:firstLine="632" w:firstLineChars="200"/>
        <w:jc w:val="left"/>
        <w:rPr>
          <w:rFonts w:ascii="仿宋_GB2312" w:eastAsia="仿宋_GB2312"/>
          <w:color w:val="000000"/>
          <w:szCs w:val="32"/>
          <w:shd w:val="clear" w:color="auto" w:fill="FFFFFF"/>
        </w:rPr>
      </w:pPr>
      <w:r>
        <w:rPr>
          <w:rFonts w:hint="eastAsia" w:ascii="仿宋_GB2312" w:eastAsia="仿宋_GB2312"/>
          <w:color w:val="000000"/>
          <w:szCs w:val="32"/>
          <w:shd w:val="clear" w:color="auto" w:fill="FFFFFF"/>
        </w:rPr>
        <w:t>根据《关于实施大学生村官和选调生工作并轨的通知》（京人社毕发〔2016〕215号）精神，</w:t>
      </w:r>
      <w:r>
        <w:rPr>
          <w:rFonts w:hint="eastAsia" w:ascii="仿宋_GB2312" w:hAnsi="宋体" w:eastAsia="仿宋_GB2312"/>
          <w:color w:val="000000"/>
          <w:szCs w:val="32"/>
        </w:rPr>
        <w:t>对到北京以外地区担任“村官”毕业生项目基层工作的毕业生实行一次性奖励。如到《国家扶贫开发工作重点县名单》地区担任“村官”，参照“</w:t>
      </w:r>
      <w:r>
        <w:rPr>
          <w:rFonts w:hint="eastAsia" w:ascii="仿宋_GB2312" w:eastAsia="仿宋_GB2312"/>
          <w:color w:val="000000"/>
          <w:szCs w:val="32"/>
          <w:shd w:val="clear" w:color="auto" w:fill="FFFFFF"/>
        </w:rPr>
        <w:t>鼓励毕业生面向基层就业的奖励标准</w:t>
      </w:r>
      <w:r>
        <w:rPr>
          <w:rFonts w:hint="eastAsia" w:ascii="仿宋_GB2312" w:hAnsi="宋体" w:eastAsia="仿宋_GB2312"/>
          <w:color w:val="000000"/>
          <w:szCs w:val="32"/>
        </w:rPr>
        <w:t>”</w:t>
      </w:r>
      <w:r>
        <w:rPr>
          <w:rFonts w:hint="eastAsia" w:ascii="仿宋_GB2312" w:eastAsia="仿宋_GB2312"/>
          <w:color w:val="000000"/>
          <w:szCs w:val="32"/>
          <w:shd w:val="clear" w:color="auto" w:fill="FFFFFF"/>
        </w:rPr>
        <w:t>（附件1）</w:t>
      </w:r>
      <w:r>
        <w:rPr>
          <w:rFonts w:hint="eastAsia" w:ascii="仿宋_GB2312" w:hAnsi="宋体" w:eastAsia="仿宋_GB2312"/>
          <w:color w:val="000000"/>
          <w:szCs w:val="32"/>
        </w:rPr>
        <w:t>第</w:t>
      </w:r>
      <w:r>
        <w:rPr>
          <w:rFonts w:ascii="仿宋_GB2312" w:hAnsi="宋体" w:eastAsia="仿宋_GB2312"/>
          <w:color w:val="000000"/>
          <w:szCs w:val="32"/>
        </w:rPr>
        <w:t>2项实施奖励。</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二、申报程序</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1.</w:t>
      </w:r>
      <w:r>
        <w:rPr>
          <w:rFonts w:hint="eastAsia" w:ascii="仿宋_GB2312" w:hAnsi="宋体" w:eastAsia="仿宋_GB2312"/>
          <w:color w:val="000000"/>
          <w:szCs w:val="32"/>
        </w:rPr>
        <w:t>对于符合奖励条件的毕业生，个人需填写《北京体育大学毕业生到基层工作奖励申请表》（附件</w:t>
      </w:r>
      <w:r>
        <w:rPr>
          <w:rFonts w:ascii="仿宋_GB2312" w:hAnsi="宋体" w:eastAsia="仿宋_GB2312"/>
          <w:color w:val="000000"/>
          <w:szCs w:val="32"/>
        </w:rPr>
        <w:t>3</w:t>
      </w:r>
      <w:r>
        <w:rPr>
          <w:rFonts w:hint="eastAsia" w:ascii="仿宋_GB2312" w:hAnsi="宋体" w:eastAsia="仿宋_GB2312"/>
          <w:color w:val="000000"/>
          <w:szCs w:val="32"/>
        </w:rPr>
        <w:t>），与签署完备的三方协议复印件一并提交所在院系审核。院系对提出申请的毕业生按照奖励条件进行初审并填报《北京体育大学发放基层奖励毕业生汇总表》（附件4），在规定时间内报送学生就业创业指导服务中心。</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2.</w:t>
      </w:r>
      <w:r>
        <w:rPr>
          <w:rFonts w:hint="eastAsia" w:ascii="仿宋_GB2312" w:hAnsi="宋体" w:eastAsia="仿宋_GB2312"/>
          <w:color w:val="000000"/>
          <w:szCs w:val="32"/>
        </w:rPr>
        <w:t>学校将通过网络、微信平台等形式对符合奖励条件的毕业生进行公示后予以奖励。</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3.</w:t>
      </w:r>
      <w:r>
        <w:rPr>
          <w:rFonts w:hint="eastAsia" w:ascii="仿宋_GB2312" w:hAnsi="宋体" w:eastAsia="仿宋_GB2312"/>
          <w:color w:val="000000"/>
          <w:szCs w:val="32"/>
        </w:rPr>
        <w:t>此项奖励仅适用于当年落实具体就业单位并办理就业派遣手续的应届毕业生；回省待就业的毕业生回原籍后落实就业单位的，不在奖励之列。定向和委培的毕业研究生颁发到基层工作的荣誉证书，不予现金奖励。</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4</w:t>
      </w:r>
      <w:r>
        <w:rPr>
          <w:rFonts w:hint="eastAsia" w:ascii="仿宋_GB2312" w:hAnsi="宋体" w:eastAsia="仿宋_GB2312"/>
          <w:color w:val="000000"/>
          <w:szCs w:val="32"/>
        </w:rPr>
        <w:t>.请毕业生务必确保《北京体育大学毕业生到基层工作奖励申请表》中本人“中信银行卡卡号”准确清晰，填报非本人银行卡信息的将无法发放奖励。如在奖励发放前发生银行卡丢失、更换等情况应及时告知学生就业创业指导服务中心。奖励发放结束后告知学校的，学校不予补发。</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三、工作要求</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1</w:t>
      </w:r>
      <w:r>
        <w:rPr>
          <w:rFonts w:hint="eastAsia" w:ascii="仿宋_GB2312" w:hAnsi="宋体" w:eastAsia="仿宋_GB2312"/>
          <w:color w:val="000000"/>
          <w:szCs w:val="32"/>
        </w:rPr>
        <w:t>.对于接受学校奖励但未到单位报到的毕业生，学校有权取消对其奖励。</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2</w:t>
      </w:r>
      <w:r>
        <w:rPr>
          <w:rFonts w:hint="eastAsia" w:ascii="仿宋_GB2312" w:hAnsi="宋体" w:eastAsia="仿宋_GB2312"/>
          <w:color w:val="000000"/>
          <w:szCs w:val="32"/>
        </w:rPr>
        <w:t>.获得奖励的毕业生在次年提出违约需办理改派的，需将奖励证书、奖金退还学校后方可办理后续手续。</w:t>
      </w:r>
    </w:p>
    <w:p>
      <w:pPr>
        <w:adjustRightInd w:val="0"/>
        <w:snapToGrid w:val="0"/>
        <w:spacing w:line="560" w:lineRule="exact"/>
        <w:ind w:firstLine="632" w:firstLineChars="200"/>
        <w:rPr>
          <w:rFonts w:ascii="仿宋_GB2312" w:hAnsi="宋体" w:eastAsia="仿宋_GB2312"/>
          <w:color w:val="000000"/>
          <w:szCs w:val="32"/>
        </w:rPr>
      </w:pPr>
      <w:r>
        <w:rPr>
          <w:rFonts w:ascii="仿宋_GB2312" w:hAnsi="宋体" w:eastAsia="仿宋_GB2312"/>
          <w:color w:val="000000"/>
          <w:szCs w:val="32"/>
        </w:rPr>
        <w:t>3</w:t>
      </w:r>
      <w:r>
        <w:rPr>
          <w:rFonts w:hint="eastAsia" w:ascii="仿宋_GB2312" w:hAnsi="宋体" w:eastAsia="仿宋_GB2312"/>
          <w:color w:val="000000"/>
          <w:szCs w:val="32"/>
        </w:rPr>
        <w:t>.奖励名单由学生就业创业指导服务中心向计划财务处提供。</w:t>
      </w:r>
    </w:p>
    <w:p>
      <w:pPr>
        <w:adjustRightInd w:val="0"/>
        <w:snapToGrid w:val="0"/>
        <w:spacing w:line="560" w:lineRule="exact"/>
        <w:ind w:firstLine="632" w:firstLineChars="200"/>
        <w:rPr>
          <w:rFonts w:ascii="黑体" w:hAnsi="黑体" w:eastAsia="黑体"/>
          <w:color w:val="000000"/>
          <w:szCs w:val="32"/>
        </w:rPr>
      </w:pPr>
      <w:r>
        <w:rPr>
          <w:rFonts w:hint="eastAsia" w:ascii="黑体" w:hAnsi="黑体" w:eastAsia="黑体"/>
          <w:color w:val="000000"/>
          <w:szCs w:val="32"/>
        </w:rPr>
        <w:t>四、本办法自公布之日起执行，由学生就业创业指导服务中心负责解释</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sz w:val="28"/>
          <w:szCs w:val="28"/>
        </w:rPr>
      </w:pPr>
    </w:p>
    <w:p>
      <w:pPr>
        <w:rPr>
          <w:sz w:val="28"/>
          <w:szCs w:val="28"/>
        </w:rPr>
      </w:pPr>
      <w:r>
        <w:rPr>
          <w:rFonts w:hint="eastAsia" w:ascii="黑体" w:hAnsi="黑体" w:eastAsia="黑体"/>
          <w:szCs w:val="32"/>
        </w:rPr>
        <w:t>附件1</w:t>
      </w:r>
    </w:p>
    <w:p>
      <w:pPr>
        <w:adjustRightInd w:val="0"/>
        <w:snapToGrid w:val="0"/>
        <w:spacing w:line="360" w:lineRule="auto"/>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鼓励毕业生面向基层就业的奖励标准</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4439"/>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0" w:hRule="atLeast"/>
        </w:trPr>
        <w:tc>
          <w:tcPr>
            <w:tcW w:w="1242"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序号</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参加项目</w:t>
            </w:r>
          </w:p>
        </w:tc>
        <w:tc>
          <w:tcPr>
            <w:tcW w:w="2841"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标准（元）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78" w:hRule="atLeast"/>
        </w:trPr>
        <w:tc>
          <w:tcPr>
            <w:tcW w:w="1242"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1</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新疆、西藏专招招录毕业生</w:t>
            </w:r>
          </w:p>
        </w:tc>
        <w:tc>
          <w:tcPr>
            <w:tcW w:w="2841"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44" w:hRule="atLeast"/>
        </w:trPr>
        <w:tc>
          <w:tcPr>
            <w:tcW w:w="1242"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2</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到中西部地区、东北地区和</w:t>
            </w:r>
          </w:p>
          <w:p>
            <w:pPr>
              <w:adjustRightInd w:val="0"/>
              <w:snapToGrid w:val="0"/>
              <w:spacing w:line="360" w:lineRule="auto"/>
              <w:jc w:val="center"/>
              <w:rPr>
                <w:rFonts w:ascii="仿宋_GB2312" w:eastAsia="仿宋_GB2312"/>
                <w:szCs w:val="32"/>
              </w:rPr>
            </w:pPr>
            <w:r>
              <w:rPr>
                <w:rFonts w:hint="eastAsia" w:ascii="仿宋_GB2312" w:eastAsia="仿宋_GB2312"/>
                <w:szCs w:val="32"/>
              </w:rPr>
              <w:t>艰苦边远地区工作毕业生</w:t>
            </w:r>
          </w:p>
        </w:tc>
        <w:tc>
          <w:tcPr>
            <w:tcW w:w="2841"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5" w:hRule="atLeast"/>
        </w:trPr>
        <w:tc>
          <w:tcPr>
            <w:tcW w:w="1242"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3</w:t>
            </w:r>
          </w:p>
        </w:tc>
        <w:tc>
          <w:tcPr>
            <w:tcW w:w="4439" w:type="dxa"/>
            <w:vAlign w:val="center"/>
          </w:tcPr>
          <w:p>
            <w:pPr>
              <w:adjustRightInd w:val="0"/>
              <w:snapToGrid w:val="0"/>
              <w:spacing w:line="360" w:lineRule="auto"/>
              <w:jc w:val="center"/>
              <w:rPr>
                <w:rFonts w:ascii="仿宋_GB2312" w:eastAsia="仿宋_GB2312"/>
                <w:szCs w:val="32"/>
              </w:rPr>
            </w:pPr>
            <w:r>
              <w:rPr>
                <w:rFonts w:hint="eastAsia" w:ascii="仿宋_GB2312" w:eastAsia="仿宋_GB2312"/>
                <w:szCs w:val="32"/>
              </w:rPr>
              <w:t>担任非北京地区“村官”</w:t>
            </w:r>
          </w:p>
          <w:p>
            <w:pPr>
              <w:adjustRightInd w:val="0"/>
              <w:snapToGrid w:val="0"/>
              <w:spacing w:line="360" w:lineRule="auto"/>
              <w:jc w:val="center"/>
              <w:rPr>
                <w:rFonts w:ascii="仿宋_GB2312" w:eastAsia="仿宋_GB2312"/>
                <w:szCs w:val="32"/>
              </w:rPr>
            </w:pPr>
            <w:r>
              <w:rPr>
                <w:rFonts w:hint="eastAsia" w:ascii="仿宋_GB2312" w:eastAsia="仿宋_GB2312"/>
                <w:szCs w:val="32"/>
              </w:rPr>
              <w:t>毕业生</w:t>
            </w:r>
          </w:p>
        </w:tc>
        <w:tc>
          <w:tcPr>
            <w:tcW w:w="2841" w:type="dxa"/>
            <w:vAlign w:val="center"/>
          </w:tcPr>
          <w:p>
            <w:pPr>
              <w:adjustRightInd w:val="0"/>
              <w:snapToGrid w:val="0"/>
              <w:spacing w:line="360" w:lineRule="auto"/>
              <w:jc w:val="center"/>
              <w:rPr>
                <w:rFonts w:ascii="仿宋_GB2312" w:eastAsia="仿宋_GB2312"/>
                <w:szCs w:val="32"/>
              </w:rPr>
            </w:pPr>
            <w:r>
              <w:rPr>
                <w:rFonts w:ascii="仿宋_GB2312" w:eastAsia="仿宋_GB2312"/>
                <w:szCs w:val="32"/>
              </w:rPr>
              <w:t>2000</w:t>
            </w:r>
          </w:p>
        </w:tc>
      </w:tr>
    </w:tbl>
    <w:p>
      <w:pPr>
        <w:adjustRightInd w:val="0"/>
        <w:snapToGrid w:val="0"/>
        <w:ind w:left="-136" w:leftChars="-45" w:hanging="6"/>
        <w:jc w:val="left"/>
        <w:rPr>
          <w:rFonts w:ascii="仿宋_GB2312" w:eastAsia="仿宋_GB2312" w:hAnsiTheme="minorEastAsia"/>
          <w:color w:val="000000"/>
          <w:szCs w:val="32"/>
        </w:rPr>
      </w:pPr>
      <w:r>
        <w:rPr>
          <w:rFonts w:hint="eastAsia" w:ascii="仿宋_GB2312" w:eastAsia="仿宋_GB2312" w:hAnsiTheme="minorEastAsia"/>
          <w:szCs w:val="32"/>
        </w:rPr>
        <w:t>注：</w:t>
      </w:r>
      <w:r>
        <w:rPr>
          <w:rFonts w:hint="eastAsia" w:ascii="仿宋_GB2312" w:eastAsia="仿宋_GB2312" w:hAnsiTheme="minorEastAsia"/>
          <w:color w:val="000000"/>
          <w:szCs w:val="32"/>
        </w:rPr>
        <w:t>到《国家扶贫开发工作重点县名单》地区担任“村官”的</w:t>
      </w:r>
    </w:p>
    <w:p>
      <w:pPr>
        <w:adjustRightInd w:val="0"/>
        <w:snapToGrid w:val="0"/>
        <w:ind w:left="-136" w:leftChars="-45" w:hanging="6"/>
        <w:jc w:val="left"/>
        <w:rPr>
          <w:rFonts w:ascii="仿宋_GB2312" w:eastAsia="仿宋_GB2312" w:hAnsiTheme="minorEastAsia"/>
          <w:szCs w:val="32"/>
        </w:rPr>
      </w:pPr>
      <w:r>
        <w:rPr>
          <w:rFonts w:hint="eastAsia" w:ascii="仿宋_GB2312" w:eastAsia="仿宋_GB2312" w:hAnsiTheme="minorEastAsia"/>
          <w:color w:val="000000"/>
          <w:szCs w:val="32"/>
        </w:rPr>
        <w:t>毕业生，参照第</w:t>
      </w:r>
      <w:r>
        <w:rPr>
          <w:rFonts w:ascii="仿宋_GB2312" w:eastAsia="仿宋_GB2312" w:hAnsiTheme="minorEastAsia"/>
          <w:color w:val="000000"/>
          <w:szCs w:val="32"/>
        </w:rPr>
        <w:t>2项实施奖励。</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szCs w:val="32"/>
        </w:rPr>
      </w:pPr>
    </w:p>
    <w:p>
      <w:pPr>
        <w:rPr>
          <w:rFonts w:ascii="黑体" w:hAnsi="黑体" w:eastAsia="黑体"/>
          <w:szCs w:val="32"/>
        </w:rPr>
      </w:pPr>
      <w:r>
        <w:rPr>
          <w:rFonts w:hint="eastAsia" w:ascii="黑体" w:hAnsi="黑体" w:eastAsia="黑体"/>
          <w:szCs w:val="32"/>
        </w:rPr>
        <w:t>附件</w:t>
      </w:r>
      <w:r>
        <w:rPr>
          <w:rFonts w:ascii="黑体" w:hAnsi="黑体" w:eastAsia="黑体"/>
          <w:szCs w:val="32"/>
        </w:rPr>
        <w:t>2</w:t>
      </w:r>
    </w:p>
    <w:p>
      <w:pPr>
        <w:jc w:val="center"/>
        <w:rPr>
          <w:rFonts w:ascii="方正小标宋简体" w:eastAsia="方正小标宋简体"/>
          <w:sz w:val="44"/>
          <w:szCs w:val="44"/>
        </w:rPr>
      </w:pPr>
      <w:r>
        <w:rPr>
          <w:rFonts w:hint="eastAsia" w:ascii="方正小标宋简体" w:eastAsia="方正小标宋简体"/>
          <w:sz w:val="44"/>
          <w:szCs w:val="44"/>
        </w:rPr>
        <w:t>国家扶贫开发工作重点县名单</w:t>
      </w:r>
    </w:p>
    <w:p>
      <w:pPr>
        <w:rPr>
          <w:rFonts w:ascii="仿宋_GB2312" w:eastAsia="仿宋_GB2312"/>
          <w:szCs w:val="32"/>
        </w:rPr>
      </w:pPr>
    </w:p>
    <w:p>
      <w:pPr>
        <w:rPr>
          <w:rFonts w:ascii="仿宋_GB2312" w:eastAsia="仿宋_GB2312"/>
          <w:b/>
          <w:szCs w:val="32"/>
        </w:rPr>
      </w:pPr>
      <w:r>
        <w:rPr>
          <w:rFonts w:hint="eastAsia" w:ascii="仿宋_GB2312" w:eastAsia="仿宋_GB2312"/>
          <w:b/>
          <w:szCs w:val="32"/>
        </w:rPr>
        <w:t>全</w:t>
      </w:r>
      <w:r>
        <w:rPr>
          <w:rFonts w:ascii="仿宋_GB2312" w:eastAsia="仿宋_GB2312"/>
          <w:b/>
          <w:szCs w:val="32"/>
        </w:rPr>
        <w:t xml:space="preserve">  </w:t>
      </w:r>
      <w:r>
        <w:rPr>
          <w:rFonts w:hint="eastAsia" w:ascii="仿宋_GB2312" w:eastAsia="仿宋_GB2312"/>
          <w:b/>
          <w:szCs w:val="32"/>
        </w:rPr>
        <w:t>国：592个（中部217个，西部375个，民族八省区232个）</w:t>
      </w:r>
    </w:p>
    <w:p>
      <w:pPr>
        <w:rPr>
          <w:rFonts w:ascii="仿宋_GB2312" w:eastAsia="仿宋_GB2312"/>
          <w:b/>
          <w:szCs w:val="32"/>
        </w:rPr>
      </w:pPr>
      <w:r>
        <w:rPr>
          <w:rFonts w:hint="eastAsia" w:ascii="仿宋_GB2312" w:eastAsia="仿宋_GB2312"/>
          <w:b/>
          <w:szCs w:val="32"/>
        </w:rPr>
        <w:t xml:space="preserve">河  北：39个 </w:t>
      </w:r>
    </w:p>
    <w:p>
      <w:pPr>
        <w:rPr>
          <w:rFonts w:ascii="仿宋_GB2312" w:eastAsia="仿宋_GB2312"/>
          <w:szCs w:val="32"/>
        </w:rPr>
      </w:pPr>
      <w:r>
        <w:rPr>
          <w:rFonts w:hint="eastAsia" w:ascii="仿宋_GB2312" w:eastAsia="仿宋_GB2312"/>
          <w:szCs w:val="32"/>
        </w:rPr>
        <w:t xml:space="preserve">行唐县、灵寿县、赞皇县、平山县、青龙县、大名县、魏  县、临城县、巨鹿县、新河县、广宗县、平乡县、威  县、阜平县、唐  县、涞源县、顺平县、张北县、康保县、沽源县、尚义县、蔚  县、阳原县、怀安县、万全县、赤城县、崇礼县、平泉县、滦平县、隆化县、丰宁县、围场县、海兴县、盐山县、南皮县、武邑县、武强县、饶阳县、阜城县、（涿鹿县赵家蓬区）                </w:t>
      </w:r>
    </w:p>
    <w:p>
      <w:pPr>
        <w:rPr>
          <w:rFonts w:ascii="仿宋_GB2312" w:eastAsia="仿宋_GB2312"/>
          <w:b/>
          <w:szCs w:val="32"/>
        </w:rPr>
      </w:pPr>
      <w:r>
        <w:rPr>
          <w:rFonts w:hint="eastAsia" w:ascii="仿宋_GB2312" w:eastAsia="仿宋_GB2312"/>
          <w:b/>
          <w:szCs w:val="32"/>
        </w:rPr>
        <w:t>山</w:t>
      </w:r>
      <w:r>
        <w:rPr>
          <w:rFonts w:ascii="仿宋_GB2312" w:eastAsia="仿宋_GB2312"/>
          <w:b/>
          <w:szCs w:val="32"/>
        </w:rPr>
        <w:t xml:space="preserve">  </w:t>
      </w:r>
      <w:r>
        <w:rPr>
          <w:rFonts w:hint="eastAsia" w:ascii="仿宋_GB2312" w:eastAsia="仿宋_GB2312"/>
          <w:b/>
          <w:szCs w:val="32"/>
        </w:rPr>
        <w:t>西：35个</w:t>
      </w:r>
    </w:p>
    <w:p>
      <w:pPr>
        <w:rPr>
          <w:rFonts w:ascii="仿宋_GB2312" w:eastAsia="仿宋_GB2312"/>
          <w:szCs w:val="32"/>
        </w:rPr>
      </w:pPr>
      <w:r>
        <w:rPr>
          <w:rFonts w:hint="eastAsia" w:ascii="仿宋_GB2312" w:eastAsia="仿宋_GB2312"/>
          <w:szCs w:val="32"/>
        </w:rPr>
        <w:t>娄烦县、阳高县、天镇县、广灵县、灵丘县、浑源县、平顺县、壶关县、武乡县、右玉县、左权县、和顺县、平陆县、五台县、代</w:t>
      </w:r>
      <w:r>
        <w:rPr>
          <w:rFonts w:ascii="仿宋_GB2312" w:eastAsia="仿宋_GB2312"/>
          <w:szCs w:val="32"/>
        </w:rPr>
        <w:t xml:space="preserve">  </w:t>
      </w:r>
      <w:r>
        <w:rPr>
          <w:rFonts w:hint="eastAsia" w:ascii="仿宋_GB2312" w:eastAsia="仿宋_GB2312"/>
          <w:szCs w:val="32"/>
        </w:rPr>
        <w:t>县、繁峙县、宁武县、静乐县、神池县、五寨县、岢岚县、河曲县、保德县、偏关县、吉</w:t>
      </w:r>
      <w:r>
        <w:rPr>
          <w:rFonts w:ascii="仿宋_GB2312" w:eastAsia="仿宋_GB2312"/>
          <w:szCs w:val="32"/>
        </w:rPr>
        <w:t xml:space="preserve">  </w:t>
      </w:r>
      <w:r>
        <w:rPr>
          <w:rFonts w:hint="eastAsia" w:ascii="仿宋_GB2312" w:eastAsia="仿宋_GB2312"/>
          <w:szCs w:val="32"/>
        </w:rPr>
        <w:t xml:space="preserve">县、大宁县、隰  县、永和县、汾西县、兴  县、临  县、石楼县、岚  县、方山县、中阳县                </w:t>
      </w:r>
    </w:p>
    <w:p>
      <w:pPr>
        <w:rPr>
          <w:rFonts w:ascii="仿宋_GB2312" w:eastAsia="仿宋_GB2312"/>
          <w:b/>
          <w:szCs w:val="32"/>
        </w:rPr>
      </w:pPr>
      <w:r>
        <w:rPr>
          <w:rFonts w:hint="eastAsia" w:ascii="仿宋_GB2312" w:eastAsia="仿宋_GB2312"/>
          <w:b/>
          <w:szCs w:val="32"/>
        </w:rPr>
        <w:t>内蒙古：31个</w:t>
      </w:r>
    </w:p>
    <w:p>
      <w:pPr>
        <w:rPr>
          <w:rFonts w:ascii="仿宋_GB2312" w:eastAsia="仿宋_GB2312"/>
          <w:szCs w:val="32"/>
        </w:rPr>
      </w:pPr>
      <w:r>
        <w:rPr>
          <w:rFonts w:hint="eastAsia" w:ascii="仿宋_GB2312" w:eastAsia="仿宋_GB2312"/>
          <w:szCs w:val="32"/>
        </w:rPr>
        <w:t xml:space="preserve">武川县、阿鲁科尔沁旗、巴林左旗、巴林右旗、林西县、翁牛特旗、喀喇沁旗、宁城县、敖汉旗、科尔沁左翼中旗、科尔沁左翼后旗、库伦旗、奈曼旗、莫力达瓦达斡尔族自治旗、鄂伦春自治旗、卓资县、化德县、商都县、兴和县、察哈尔右翼前旗、察哈尔右翼中旗、察哈尔右翼后旗、四子王旗、阿尔山市、科尔沁右翼前旗、科尔沁右翼中旗、扎赉特旗、突泉县、苏尼特右旗、太仆寺旗、正镶白旗                </w:t>
      </w:r>
    </w:p>
    <w:p>
      <w:pPr>
        <w:rPr>
          <w:rFonts w:ascii="仿宋_GB2312" w:eastAsia="仿宋_GB2312"/>
          <w:b/>
          <w:szCs w:val="32"/>
        </w:rPr>
      </w:pPr>
      <w:r>
        <w:rPr>
          <w:rFonts w:hint="eastAsia" w:ascii="仿宋_GB2312" w:eastAsia="仿宋_GB2312"/>
          <w:b/>
          <w:szCs w:val="32"/>
        </w:rPr>
        <w:t>吉  林：8个</w:t>
      </w:r>
    </w:p>
    <w:p>
      <w:pPr>
        <w:rPr>
          <w:rFonts w:ascii="仿宋_GB2312" w:eastAsia="仿宋_GB2312"/>
          <w:szCs w:val="32"/>
        </w:rPr>
      </w:pPr>
      <w:r>
        <w:rPr>
          <w:rFonts w:hint="eastAsia" w:ascii="仿宋_GB2312" w:eastAsia="仿宋_GB2312"/>
          <w:szCs w:val="32"/>
        </w:rPr>
        <w:t xml:space="preserve">靖宇县、镇赉县、通榆县、大安市、龙井市、和龙市、汪清县、安图县                </w:t>
      </w:r>
    </w:p>
    <w:p>
      <w:pPr>
        <w:rPr>
          <w:rFonts w:ascii="仿宋_GB2312" w:eastAsia="仿宋_GB2312"/>
          <w:b/>
          <w:szCs w:val="32"/>
        </w:rPr>
      </w:pPr>
      <w:r>
        <w:rPr>
          <w:rFonts w:hint="eastAsia" w:ascii="仿宋_GB2312" w:eastAsia="仿宋_GB2312"/>
          <w:b/>
          <w:szCs w:val="32"/>
        </w:rPr>
        <w:t xml:space="preserve">黑龙江：14个 </w:t>
      </w:r>
    </w:p>
    <w:p>
      <w:pPr>
        <w:rPr>
          <w:rFonts w:ascii="仿宋_GB2312" w:eastAsia="仿宋_GB2312"/>
          <w:szCs w:val="32"/>
        </w:rPr>
      </w:pPr>
      <w:r>
        <w:rPr>
          <w:rFonts w:hint="eastAsia" w:ascii="仿宋_GB2312" w:eastAsia="仿宋_GB2312"/>
          <w:szCs w:val="32"/>
        </w:rPr>
        <w:t xml:space="preserve">延寿县、泰来县、甘南县、拜泉县、绥滨县、饶河县、林甸县、桦南县、桦川县、汤原县、抚远县、同江市、兰西县、海伦市                </w:t>
      </w:r>
    </w:p>
    <w:p>
      <w:pPr>
        <w:rPr>
          <w:rFonts w:ascii="仿宋_GB2312" w:eastAsia="仿宋_GB2312"/>
          <w:b/>
          <w:szCs w:val="32"/>
        </w:rPr>
      </w:pPr>
      <w:r>
        <w:rPr>
          <w:rFonts w:hint="eastAsia" w:ascii="仿宋_GB2312" w:eastAsia="仿宋_GB2312"/>
          <w:b/>
          <w:szCs w:val="32"/>
        </w:rPr>
        <w:t>安  徽：19个</w:t>
      </w:r>
    </w:p>
    <w:p>
      <w:pPr>
        <w:rPr>
          <w:rFonts w:ascii="仿宋_GB2312" w:eastAsia="仿宋_GB2312"/>
          <w:szCs w:val="32"/>
        </w:rPr>
      </w:pPr>
      <w:r>
        <w:rPr>
          <w:rFonts w:hint="eastAsia" w:ascii="仿宋_GB2312" w:eastAsia="仿宋_GB2312"/>
          <w:szCs w:val="32"/>
        </w:rPr>
        <w:t>潜山县、太湖县、宿松县、岳西县、颍东区、临泉县、阜南县、颍上县、砀山县、萧</w:t>
      </w:r>
      <w:r>
        <w:rPr>
          <w:rFonts w:ascii="仿宋_GB2312" w:eastAsia="仿宋_GB2312"/>
          <w:szCs w:val="32"/>
        </w:rPr>
        <w:t xml:space="preserve">  </w:t>
      </w:r>
      <w:r>
        <w:rPr>
          <w:rFonts w:hint="eastAsia" w:ascii="仿宋_GB2312" w:eastAsia="仿宋_GB2312"/>
          <w:szCs w:val="32"/>
        </w:rPr>
        <w:t xml:space="preserve">县、灵璧县、泗  县、裕安区、寿  县、霍邱县、舒城县、金寨县、利辛县、石台县                </w:t>
      </w:r>
    </w:p>
    <w:p>
      <w:pPr>
        <w:rPr>
          <w:rFonts w:ascii="仿宋_GB2312" w:eastAsia="仿宋_GB2312"/>
          <w:b/>
          <w:szCs w:val="32"/>
        </w:rPr>
      </w:pPr>
      <w:r>
        <w:rPr>
          <w:rFonts w:hint="eastAsia" w:ascii="仿宋_GB2312" w:eastAsia="仿宋_GB2312"/>
          <w:b/>
          <w:szCs w:val="32"/>
        </w:rPr>
        <w:t>江  西：</w:t>
      </w:r>
      <w:r>
        <w:rPr>
          <w:rFonts w:ascii="仿宋_GB2312" w:eastAsia="仿宋_GB2312"/>
          <w:b/>
          <w:szCs w:val="32"/>
        </w:rPr>
        <w:t>21</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莲花县、修水县、赣  县、上犹县、安远县、宁都县、于都县、兴国县、会昌县、寻乌县、吉安县、遂川县、万安县、永新县、井冈山市、乐安县、广昌县、上饶县、横峰县、余干县、鄱阳县                </w:t>
      </w:r>
    </w:p>
    <w:p>
      <w:pPr>
        <w:rPr>
          <w:rFonts w:ascii="仿宋_GB2312" w:eastAsia="仿宋_GB2312"/>
          <w:b/>
          <w:szCs w:val="32"/>
        </w:rPr>
      </w:pPr>
      <w:r>
        <w:rPr>
          <w:rFonts w:hint="eastAsia" w:ascii="仿宋_GB2312" w:eastAsia="仿宋_GB2312"/>
          <w:b/>
          <w:szCs w:val="32"/>
        </w:rPr>
        <w:t>河  南：</w:t>
      </w:r>
      <w:r>
        <w:rPr>
          <w:rFonts w:ascii="仿宋_GB2312" w:eastAsia="仿宋_GB2312"/>
          <w:b/>
          <w:szCs w:val="32"/>
        </w:rPr>
        <w:t>31</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兰考县、栾川县、嵩  县、汝阳县、宜阳县、洛宁县、鲁山县、滑  县、封丘县、范  县、台前县、卢氏县、南召县、淅川县、社旗县、桐柏县、民权县、睢  县、宁陵县、虞城县、光山县、新  县、商城县、固始县、淮滨县、沈丘县、淮阳县、上蔡县、平舆县、确山县、新蔡县                </w:t>
      </w:r>
    </w:p>
    <w:p>
      <w:pPr>
        <w:rPr>
          <w:rFonts w:ascii="仿宋_GB2312" w:eastAsia="仿宋_GB2312"/>
          <w:b/>
          <w:szCs w:val="32"/>
        </w:rPr>
      </w:pPr>
      <w:r>
        <w:rPr>
          <w:rFonts w:hint="eastAsia" w:ascii="仿宋_GB2312" w:eastAsia="仿宋_GB2312"/>
          <w:b/>
          <w:szCs w:val="32"/>
        </w:rPr>
        <w:t>湖  北：</w:t>
      </w:r>
      <w:r>
        <w:rPr>
          <w:rFonts w:ascii="仿宋_GB2312" w:eastAsia="仿宋_GB2312"/>
          <w:b/>
          <w:szCs w:val="32"/>
        </w:rPr>
        <w:t>25</w:t>
      </w:r>
      <w:r>
        <w:rPr>
          <w:rFonts w:hint="eastAsia" w:ascii="仿宋_GB2312" w:eastAsia="仿宋_GB2312"/>
          <w:b/>
          <w:szCs w:val="32"/>
        </w:rPr>
        <w:t>个</w:t>
      </w:r>
      <w:r>
        <w:rPr>
          <w:rFonts w:ascii="仿宋_GB2312" w:eastAsia="仿宋_GB2312"/>
          <w:b/>
          <w:szCs w:val="32"/>
        </w:rPr>
        <w:t xml:space="preserve">                </w:t>
      </w:r>
    </w:p>
    <w:p>
      <w:pPr>
        <w:rPr>
          <w:rFonts w:ascii="仿宋_GB2312" w:eastAsia="仿宋_GB2312"/>
          <w:szCs w:val="32"/>
        </w:rPr>
      </w:pPr>
      <w:r>
        <w:rPr>
          <w:rFonts w:hint="eastAsia" w:ascii="仿宋_GB2312" w:eastAsia="仿宋_GB2312"/>
          <w:szCs w:val="32"/>
        </w:rPr>
        <w:t xml:space="preserve">阳新县、郧  县、郧西县、竹山县、竹溪县、房  县、丹江口市、秭归县、长阳县、孝昌县、大悟县、红安县、罗田县、英山县、蕲春县、麻城市、恩施市、利川市、建始县、巴东县、宣恩县、咸丰县、来凤县、鹤峰县、神农架林区                </w:t>
      </w:r>
    </w:p>
    <w:p>
      <w:pPr>
        <w:rPr>
          <w:rFonts w:ascii="仿宋_GB2312" w:eastAsia="仿宋_GB2312"/>
          <w:b/>
          <w:szCs w:val="32"/>
        </w:rPr>
      </w:pPr>
      <w:r>
        <w:rPr>
          <w:rFonts w:hint="eastAsia" w:ascii="仿宋_GB2312" w:eastAsia="仿宋_GB2312"/>
          <w:b/>
          <w:szCs w:val="32"/>
        </w:rPr>
        <w:t>湖  南：</w:t>
      </w:r>
      <w:r>
        <w:rPr>
          <w:rFonts w:ascii="仿宋_GB2312" w:eastAsia="仿宋_GB2312"/>
          <w:b/>
          <w:szCs w:val="32"/>
        </w:rPr>
        <w:t>20</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邵阳县、隆回县、城步县、平江县、桑植县、安化县、汝城县、桂东县、新田县、江华县、沅陵县、通道县、新化县、泸溪县、凤凰县、花垣县、保靖县、古丈县、永顺县、龙山县                </w:t>
      </w:r>
    </w:p>
    <w:p>
      <w:pPr>
        <w:rPr>
          <w:rFonts w:ascii="仿宋_GB2312" w:eastAsia="仿宋_GB2312"/>
          <w:szCs w:val="32"/>
        </w:rPr>
      </w:pPr>
      <w:r>
        <w:rPr>
          <w:rFonts w:hint="eastAsia" w:ascii="仿宋_GB2312" w:eastAsia="仿宋_GB2312"/>
          <w:b/>
          <w:szCs w:val="32"/>
        </w:rPr>
        <w:t>广  西：</w:t>
      </w:r>
      <w:r>
        <w:rPr>
          <w:rFonts w:ascii="仿宋_GB2312" w:eastAsia="仿宋_GB2312"/>
          <w:b/>
          <w:szCs w:val="32"/>
        </w:rPr>
        <w:t>28</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隆安县、马山县、上林县、融水县、三江县、龙胜县、田东县、德保县、靖西县、那坡县、凌云县、乐业县、田林县、西林县、隆林县、昭平县、富川县、凤山县、东兰县、罗城县、环江县、巴马县、都安县、大化县、忻城县、金秀县、龙州县、天等县                </w:t>
      </w:r>
    </w:p>
    <w:p>
      <w:pPr>
        <w:rPr>
          <w:rFonts w:ascii="仿宋_GB2312" w:eastAsia="仿宋_GB2312"/>
          <w:b/>
          <w:szCs w:val="32"/>
        </w:rPr>
      </w:pPr>
      <w:r>
        <w:rPr>
          <w:rFonts w:hint="eastAsia" w:ascii="仿宋_GB2312" w:eastAsia="仿宋_GB2312"/>
          <w:b/>
          <w:szCs w:val="32"/>
        </w:rPr>
        <w:t>海  南：</w:t>
      </w:r>
      <w:r>
        <w:rPr>
          <w:rFonts w:ascii="仿宋_GB2312" w:eastAsia="仿宋_GB2312"/>
          <w:b/>
          <w:szCs w:val="32"/>
        </w:rPr>
        <w:t>5</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五指山市、临高县、白沙县、保亭县、琼中县                </w:t>
      </w:r>
    </w:p>
    <w:p>
      <w:pPr>
        <w:rPr>
          <w:rFonts w:ascii="仿宋_GB2312" w:eastAsia="仿宋_GB2312"/>
          <w:b/>
          <w:szCs w:val="32"/>
        </w:rPr>
      </w:pPr>
      <w:r>
        <w:rPr>
          <w:rFonts w:hint="eastAsia" w:ascii="仿宋_GB2312" w:eastAsia="仿宋_GB2312"/>
          <w:b/>
          <w:szCs w:val="32"/>
        </w:rPr>
        <w:t>重  庆：</w:t>
      </w:r>
      <w:r>
        <w:rPr>
          <w:rFonts w:ascii="仿宋_GB2312" w:eastAsia="仿宋_GB2312"/>
          <w:b/>
          <w:szCs w:val="32"/>
        </w:rPr>
        <w:t>14</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万州区、黔江区、城口县、丰都县、武隆县、开 县、云阳县、奉节县、巫山县、巫溪县、石柱县、秀山县、酉阳县、彭水县                </w:t>
      </w:r>
    </w:p>
    <w:p>
      <w:pPr>
        <w:rPr>
          <w:rFonts w:ascii="仿宋_GB2312" w:eastAsia="仿宋_GB2312"/>
          <w:b/>
          <w:szCs w:val="32"/>
        </w:rPr>
      </w:pPr>
      <w:r>
        <w:rPr>
          <w:rFonts w:hint="eastAsia" w:ascii="仿宋_GB2312" w:eastAsia="仿宋_GB2312"/>
          <w:b/>
          <w:szCs w:val="32"/>
        </w:rPr>
        <w:t>四  川：</w:t>
      </w:r>
      <w:r>
        <w:rPr>
          <w:rFonts w:ascii="仿宋_GB2312" w:eastAsia="仿宋_GB2312"/>
          <w:b/>
          <w:szCs w:val="32"/>
        </w:rPr>
        <w:t>36</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叙永县、古蔺县、朝天区、旺苍县、苍溪县、马边县、嘉陵区、南部县、仪陇县、阆中市、屏山县、广安区、宣汉县、万源市、通江县、南江县、平昌县、小金县、黑水县、壤塘县、甘孜县、德格县、石渠县、色达县、理塘县、木里县、盐源县、普格县、布拖县、金阳县、昭觉县、喜德县、越西县、甘洛县、美姑县、雷波县                </w:t>
      </w:r>
    </w:p>
    <w:p>
      <w:pPr>
        <w:rPr>
          <w:rFonts w:ascii="仿宋_GB2312" w:eastAsia="仿宋_GB2312"/>
          <w:b/>
          <w:szCs w:val="32"/>
        </w:rPr>
      </w:pPr>
      <w:r>
        <w:rPr>
          <w:rFonts w:hint="eastAsia" w:ascii="仿宋_GB2312" w:eastAsia="仿宋_GB2312"/>
          <w:b/>
          <w:szCs w:val="32"/>
        </w:rPr>
        <w:t>贵  州：</w:t>
      </w:r>
      <w:r>
        <w:rPr>
          <w:rFonts w:ascii="仿宋_GB2312" w:eastAsia="仿宋_GB2312"/>
          <w:b/>
          <w:szCs w:val="32"/>
        </w:rPr>
        <w:t>50</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六枝特区、水城县、盘</w:t>
      </w:r>
      <w:r>
        <w:rPr>
          <w:rFonts w:ascii="仿宋_GB2312" w:eastAsia="仿宋_GB2312"/>
          <w:szCs w:val="32"/>
        </w:rPr>
        <w:t xml:space="preserve"> </w:t>
      </w:r>
      <w:r>
        <w:rPr>
          <w:rFonts w:hint="eastAsia" w:ascii="仿宋_GB2312" w:eastAsia="仿宋_GB2312"/>
          <w:szCs w:val="32"/>
        </w:rPr>
        <w:t xml:space="preserve">县、正安县、道真县、务川县、习水县、普定县、镇宁县、关岭县、紫云县、江口县、石阡县、思南县、印江县、德江县、沿河县、松桃县、兴仁县、普安县、晴隆县、贞丰县、望谟县、册亨县、安龙县、大方县、织金县、纳雍县、威宁县、赫章县、黄平县、施秉县、三穗县、岑巩县、天柱县、锦屏县、剑河县、台江县、黎平县、榕江县、从江县、雷山县、麻江县、丹寨县、荔波县、独山县、平塘县、罗甸县、长顺县、三都县                </w:t>
      </w:r>
    </w:p>
    <w:p>
      <w:pPr>
        <w:rPr>
          <w:rFonts w:ascii="仿宋_GB2312" w:eastAsia="仿宋_GB2312"/>
          <w:b/>
          <w:szCs w:val="32"/>
        </w:rPr>
      </w:pPr>
      <w:r>
        <w:rPr>
          <w:rFonts w:hint="eastAsia" w:ascii="仿宋_GB2312" w:eastAsia="仿宋_GB2312"/>
          <w:b/>
          <w:szCs w:val="32"/>
        </w:rPr>
        <w:t>云  南：</w:t>
      </w:r>
      <w:r>
        <w:rPr>
          <w:rFonts w:ascii="仿宋_GB2312" w:eastAsia="仿宋_GB2312"/>
          <w:b/>
          <w:szCs w:val="32"/>
        </w:rPr>
        <w:t>73</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东川区、禄劝县、寻甸县、富源县、会泽县、施甸县、龙陵县、昌宁县、昭阳区、鲁甸县、巧家县、盐津县、大关县、永善县、绥江县、镇雄县、彝良县、威信县、永胜县、宁蒗县、宁洱县、墨江县、景东县、镇沅县、江城县、孟连县、澜沧县、西盟县、临翔区、凤庆县、云  县、永德县、镇康县、双江县、沧源县、双柏县、南华县、姚安县、大姚县、永仁县、武定县、屏边县、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                </w:t>
      </w:r>
    </w:p>
    <w:p>
      <w:pPr>
        <w:rPr>
          <w:rFonts w:ascii="仿宋_GB2312" w:eastAsia="仿宋_GB2312"/>
          <w:b/>
          <w:szCs w:val="32"/>
        </w:rPr>
      </w:pPr>
      <w:r>
        <w:rPr>
          <w:rFonts w:hint="eastAsia" w:ascii="仿宋_GB2312" w:eastAsia="仿宋_GB2312"/>
          <w:b/>
          <w:szCs w:val="32"/>
        </w:rPr>
        <w:t>陕  西：</w:t>
      </w:r>
      <w:r>
        <w:rPr>
          <w:rFonts w:ascii="仿宋_GB2312" w:eastAsia="仿宋_GB2312"/>
          <w:b/>
          <w:szCs w:val="32"/>
        </w:rPr>
        <w:t>50</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印台区、耀州区、宜君县、陇</w:t>
      </w:r>
      <w:r>
        <w:rPr>
          <w:rFonts w:ascii="仿宋_GB2312" w:eastAsia="仿宋_GB2312"/>
          <w:szCs w:val="32"/>
        </w:rPr>
        <w:t xml:space="preserve">  </w:t>
      </w:r>
      <w:r>
        <w:rPr>
          <w:rFonts w:hint="eastAsia" w:ascii="仿宋_GB2312" w:eastAsia="仿宋_GB2312"/>
          <w:szCs w:val="32"/>
        </w:rPr>
        <w:t>县、麟游县、太白县、永寿县、长武县、旬邑县、淳化县、合阳县、澄城县、蒲城县、白水县、富平县、延长县、延川县、宜川县、洋</w:t>
      </w:r>
      <w:r>
        <w:rPr>
          <w:rFonts w:ascii="仿宋_GB2312" w:eastAsia="仿宋_GB2312"/>
          <w:szCs w:val="32"/>
        </w:rPr>
        <w:t xml:space="preserve">  </w:t>
      </w:r>
      <w:r>
        <w:rPr>
          <w:rFonts w:hint="eastAsia" w:ascii="仿宋_GB2312" w:eastAsia="仿宋_GB2312"/>
          <w:szCs w:val="32"/>
        </w:rPr>
        <w:t xml:space="preserve">县、西乡县、勉  县、宁强县、略阳县、镇巴县、留坝县、佛坪县、横山县、定边县、绥德县、米脂县、佳  县、吴堡县、清涧县、子洲县、汉滨区、汉阴县、石泉县、宁陕县、紫阳县、岚皋县、镇坪县、旬阳县、白河县、商州区、洛南县、丹凤县、商南县、山阳县、镇安县、柞水县                </w:t>
      </w:r>
    </w:p>
    <w:p>
      <w:pPr>
        <w:rPr>
          <w:rFonts w:ascii="仿宋_GB2312" w:eastAsia="仿宋_GB2312"/>
          <w:b/>
          <w:szCs w:val="32"/>
        </w:rPr>
      </w:pPr>
      <w:r>
        <w:rPr>
          <w:rFonts w:hint="eastAsia" w:ascii="仿宋_GB2312" w:eastAsia="仿宋_GB2312"/>
          <w:b/>
          <w:szCs w:val="32"/>
        </w:rPr>
        <w:t>甘  肃：</w:t>
      </w:r>
      <w:r>
        <w:rPr>
          <w:rFonts w:ascii="仿宋_GB2312" w:eastAsia="仿宋_GB2312"/>
          <w:b/>
          <w:szCs w:val="32"/>
        </w:rPr>
        <w:t>43</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榆中县、会宁县、麦积区、清水县、秦安县、甘谷县、武山县、张家川县、古浪县、天祝县、庄浪县、静宁县、环  县、华池县、合水县、宁  县、镇原县、安定区、通渭县、陇西县、渭源县、临洮县、漳  县、岷  县、武都区、文  县、宕昌县、康  县、西和县、礼  县、两当县、临夏县、康乐县、永靖县、广河县、和政县、东乡县、积石山县、合作市、临潭县、卓尼县、舟曲县、夏河县                </w:t>
      </w:r>
    </w:p>
    <w:p>
      <w:pPr>
        <w:rPr>
          <w:rFonts w:ascii="仿宋_GB2312" w:eastAsia="仿宋_GB2312"/>
          <w:b/>
          <w:szCs w:val="32"/>
        </w:rPr>
      </w:pPr>
      <w:r>
        <w:rPr>
          <w:rFonts w:hint="eastAsia" w:ascii="仿宋_GB2312" w:eastAsia="仿宋_GB2312"/>
          <w:b/>
          <w:szCs w:val="32"/>
        </w:rPr>
        <w:t>青  海：</w:t>
      </w:r>
      <w:r>
        <w:rPr>
          <w:rFonts w:ascii="仿宋_GB2312" w:eastAsia="仿宋_GB2312"/>
          <w:b/>
          <w:szCs w:val="32"/>
        </w:rPr>
        <w:t>15</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大通县、湟中县、平安县、民和县、乐都县、化隆县、循化县、泽库县、甘德县、达日县、玛多县、杂多县、治多县、囊谦县、曲麻莱县                </w:t>
      </w:r>
    </w:p>
    <w:p>
      <w:pPr>
        <w:rPr>
          <w:rFonts w:ascii="仿宋_GB2312" w:eastAsia="仿宋_GB2312"/>
          <w:b/>
          <w:szCs w:val="32"/>
        </w:rPr>
      </w:pPr>
      <w:r>
        <w:rPr>
          <w:rFonts w:hint="eastAsia" w:ascii="仿宋_GB2312" w:eastAsia="仿宋_GB2312"/>
          <w:b/>
          <w:szCs w:val="32"/>
        </w:rPr>
        <w:t>宁  夏：</w:t>
      </w:r>
      <w:r>
        <w:rPr>
          <w:rFonts w:ascii="仿宋_GB2312" w:eastAsia="仿宋_GB2312"/>
          <w:b/>
          <w:szCs w:val="32"/>
        </w:rPr>
        <w:t>8</w:t>
      </w:r>
      <w:r>
        <w:rPr>
          <w:rFonts w:hint="eastAsia" w:ascii="仿宋_GB2312" w:eastAsia="仿宋_GB2312"/>
          <w:b/>
          <w:szCs w:val="32"/>
        </w:rPr>
        <w:t>个</w:t>
      </w:r>
    </w:p>
    <w:p>
      <w:pPr>
        <w:rPr>
          <w:rFonts w:ascii="仿宋_GB2312" w:eastAsia="仿宋_GB2312"/>
          <w:szCs w:val="32"/>
        </w:rPr>
      </w:pPr>
      <w:r>
        <w:rPr>
          <w:rFonts w:hint="eastAsia" w:ascii="仿宋_GB2312" w:eastAsia="仿宋_GB2312"/>
          <w:szCs w:val="32"/>
        </w:rPr>
        <w:t xml:space="preserve">盐池县、同心县、原州区、西吉县、隆德县、泾源县、彭阳县、海原县                </w:t>
      </w:r>
    </w:p>
    <w:p>
      <w:pPr>
        <w:rPr>
          <w:rFonts w:ascii="仿宋_GB2312" w:eastAsia="仿宋_GB2312"/>
          <w:b/>
          <w:szCs w:val="32"/>
        </w:rPr>
      </w:pPr>
      <w:r>
        <w:rPr>
          <w:rFonts w:hint="eastAsia" w:ascii="仿宋_GB2312" w:eastAsia="仿宋_GB2312"/>
          <w:b/>
          <w:szCs w:val="32"/>
        </w:rPr>
        <w:t>新  疆：</w:t>
      </w:r>
      <w:r>
        <w:rPr>
          <w:rFonts w:ascii="仿宋_GB2312" w:eastAsia="仿宋_GB2312"/>
          <w:b/>
          <w:szCs w:val="32"/>
        </w:rPr>
        <w:t>27</w:t>
      </w:r>
      <w:r>
        <w:rPr>
          <w:rFonts w:hint="eastAsia" w:ascii="仿宋_GB2312" w:eastAsia="仿宋_GB2312"/>
          <w:b/>
          <w:szCs w:val="32"/>
        </w:rPr>
        <w:t>个</w:t>
      </w:r>
    </w:p>
    <w:p>
      <w:pPr>
        <w:rPr>
          <w:sz w:val="28"/>
          <w:szCs w:val="28"/>
        </w:rPr>
      </w:pPr>
      <w:r>
        <w:rPr>
          <w:rFonts w:hint="eastAsia" w:ascii="仿宋_GB2312" w:eastAsia="仿宋_GB2312"/>
          <w:szCs w:val="32"/>
        </w:rPr>
        <w:t>巴里坤哈萨克自治县、乌什县、柯坪县、阿图什市、阿克陶县、阿合奇县、乌恰县、疏附县、疏勒县、英吉沙县、莎车县、叶城县、岳普湖县、伽师县、塔什库尔干塔吉克自治县、和田县、墨玉县、皮山县、洛浦县、策勒县、于田县、民丰县、察布查尔锡伯自治县、尼勒克县、托里县、青河县、吉木乃县</w:t>
      </w: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hint="eastAsia" w:ascii="黑体" w:hAnsi="黑体" w:eastAsia="黑体"/>
          <w:szCs w:val="32"/>
        </w:rPr>
      </w:pPr>
    </w:p>
    <w:p>
      <w:pPr>
        <w:rPr>
          <w:rFonts w:ascii="黑体" w:hAnsi="黑体" w:eastAsia="黑体"/>
          <w:szCs w:val="32"/>
        </w:rPr>
      </w:pPr>
      <w:r>
        <w:rPr>
          <w:rFonts w:hint="eastAsia" w:ascii="黑体" w:hAnsi="黑体" w:eastAsia="黑体"/>
          <w:szCs w:val="32"/>
        </w:rPr>
        <w:t>附件</w:t>
      </w:r>
      <w:r>
        <w:rPr>
          <w:rFonts w:ascii="黑体" w:hAnsi="黑体" w:eastAsia="黑体"/>
          <w:szCs w:val="32"/>
        </w:rPr>
        <w:t>3</w:t>
      </w:r>
    </w:p>
    <w:p>
      <w:pPr>
        <w:jc w:val="center"/>
        <w:rPr>
          <w:rFonts w:ascii="方正小标宋简体" w:eastAsia="方正小标宋简体"/>
          <w:sz w:val="36"/>
          <w:szCs w:val="36"/>
        </w:rPr>
      </w:pPr>
      <w:r>
        <w:rPr>
          <w:rFonts w:hint="eastAsia" w:ascii="方正小标宋简体" w:eastAsia="方正小标宋简体"/>
          <w:sz w:val="36"/>
          <w:szCs w:val="36"/>
        </w:rPr>
        <w:t>北京体育大学</w:t>
      </w:r>
      <w:r>
        <w:rPr>
          <w:rFonts w:ascii="方正小标宋简体" w:eastAsia="方正小标宋简体"/>
          <w:sz w:val="36"/>
          <w:szCs w:val="36"/>
          <w:u w:val="single"/>
        </w:rPr>
        <w:t xml:space="preserve">    </w:t>
      </w:r>
      <w:r>
        <w:rPr>
          <w:rFonts w:hint="eastAsia" w:ascii="方正小标宋简体" w:eastAsia="方正小标宋简体"/>
          <w:sz w:val="36"/>
          <w:szCs w:val="36"/>
        </w:rPr>
        <w:t>届毕业生到基层工作奖励申请表</w:t>
      </w:r>
    </w:p>
    <w:tbl>
      <w:tblPr>
        <w:tblStyle w:val="5"/>
        <w:tblW w:w="979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357"/>
        <w:gridCol w:w="1451"/>
        <w:gridCol w:w="253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632" w:type="dxa"/>
            <w:vAlign w:val="center"/>
          </w:tcPr>
          <w:p>
            <w:pPr>
              <w:spacing w:line="380" w:lineRule="exact"/>
              <w:jc w:val="center"/>
              <w:rPr>
                <w:sz w:val="24"/>
                <w:szCs w:val="24"/>
              </w:rPr>
            </w:pPr>
            <w:r>
              <w:rPr>
                <w:rFonts w:hint="eastAsia"/>
                <w:sz w:val="24"/>
                <w:szCs w:val="24"/>
              </w:rPr>
              <w:t>姓</w:t>
            </w:r>
            <w:r>
              <w:rPr>
                <w:sz w:val="24"/>
                <w:szCs w:val="24"/>
              </w:rPr>
              <w:t xml:space="preserve">    </w:t>
            </w:r>
            <w:r>
              <w:rPr>
                <w:rFonts w:hint="eastAsia"/>
                <w:sz w:val="24"/>
                <w:szCs w:val="24"/>
              </w:rPr>
              <w:t>名</w:t>
            </w:r>
          </w:p>
        </w:tc>
        <w:tc>
          <w:tcPr>
            <w:tcW w:w="2357" w:type="dxa"/>
            <w:vAlign w:val="center"/>
          </w:tcPr>
          <w:p>
            <w:pPr>
              <w:keepNext/>
              <w:keepLines/>
              <w:spacing w:before="340" w:after="330" w:line="160" w:lineRule="exact"/>
              <w:jc w:val="center"/>
              <w:rPr>
                <w:sz w:val="24"/>
                <w:szCs w:val="24"/>
              </w:rPr>
            </w:pPr>
          </w:p>
        </w:tc>
        <w:tc>
          <w:tcPr>
            <w:tcW w:w="1451" w:type="dxa"/>
            <w:vAlign w:val="center"/>
          </w:tcPr>
          <w:p>
            <w:pPr>
              <w:spacing w:line="380" w:lineRule="exact"/>
              <w:jc w:val="center"/>
              <w:rPr>
                <w:sz w:val="24"/>
                <w:szCs w:val="24"/>
              </w:rPr>
            </w:pPr>
            <w:r>
              <w:rPr>
                <w:rFonts w:hint="eastAsia"/>
                <w:sz w:val="24"/>
                <w:szCs w:val="24"/>
              </w:rPr>
              <w:t>院系专业</w:t>
            </w:r>
          </w:p>
        </w:tc>
        <w:tc>
          <w:tcPr>
            <w:tcW w:w="2539" w:type="dxa"/>
            <w:vAlign w:val="center"/>
          </w:tcPr>
          <w:p>
            <w:pPr>
              <w:keepNext/>
              <w:keepLines/>
              <w:spacing w:before="340" w:after="330" w:line="160" w:lineRule="exact"/>
              <w:jc w:val="center"/>
              <w:rPr>
                <w:sz w:val="24"/>
                <w:szCs w:val="24"/>
              </w:rPr>
            </w:pPr>
          </w:p>
        </w:tc>
        <w:tc>
          <w:tcPr>
            <w:tcW w:w="1813" w:type="dxa"/>
            <w:vMerge w:val="restart"/>
            <w:vAlign w:val="center"/>
          </w:tcPr>
          <w:p>
            <w:pPr>
              <w:spacing w:line="240" w:lineRule="exact"/>
              <w:jc w:val="center"/>
              <w:rPr>
                <w:sz w:val="24"/>
                <w:szCs w:val="24"/>
              </w:rPr>
            </w:pPr>
            <w:r>
              <w:rPr>
                <w:rFonts w:hint="eastAsia"/>
                <w:sz w:val="24"/>
                <w:szCs w:val="24"/>
              </w:rPr>
              <w:t>粘贴照片处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632" w:type="dxa"/>
            <w:vAlign w:val="center"/>
          </w:tcPr>
          <w:p>
            <w:pPr>
              <w:spacing w:line="380" w:lineRule="exact"/>
              <w:jc w:val="center"/>
              <w:rPr>
                <w:sz w:val="24"/>
                <w:szCs w:val="24"/>
              </w:rPr>
            </w:pPr>
            <w:r>
              <w:rPr>
                <w:rFonts w:hint="eastAsia"/>
                <w:sz w:val="24"/>
                <w:szCs w:val="24"/>
              </w:rPr>
              <w:t>生</w:t>
            </w:r>
            <w:r>
              <w:rPr>
                <w:sz w:val="24"/>
                <w:szCs w:val="24"/>
              </w:rPr>
              <w:t xml:space="preserve">    </w:t>
            </w:r>
            <w:r>
              <w:rPr>
                <w:rFonts w:hint="eastAsia"/>
                <w:sz w:val="24"/>
                <w:szCs w:val="24"/>
              </w:rPr>
              <w:t>源</w:t>
            </w:r>
          </w:p>
        </w:tc>
        <w:tc>
          <w:tcPr>
            <w:tcW w:w="2357" w:type="dxa"/>
            <w:vAlign w:val="center"/>
          </w:tcPr>
          <w:p>
            <w:pPr>
              <w:keepNext/>
              <w:keepLines/>
              <w:spacing w:before="340" w:after="330" w:line="200" w:lineRule="exact"/>
              <w:jc w:val="center"/>
              <w:rPr>
                <w:sz w:val="24"/>
                <w:szCs w:val="24"/>
              </w:rPr>
            </w:pPr>
          </w:p>
        </w:tc>
        <w:tc>
          <w:tcPr>
            <w:tcW w:w="1451" w:type="dxa"/>
            <w:vAlign w:val="center"/>
          </w:tcPr>
          <w:p>
            <w:pPr>
              <w:spacing w:line="380" w:lineRule="exact"/>
              <w:jc w:val="center"/>
              <w:rPr>
                <w:sz w:val="24"/>
                <w:szCs w:val="24"/>
              </w:rPr>
            </w:pPr>
            <w:r>
              <w:rPr>
                <w:rFonts w:hint="eastAsia"/>
                <w:sz w:val="24"/>
                <w:szCs w:val="24"/>
              </w:rPr>
              <w:t>电</w:t>
            </w:r>
            <w:r>
              <w:rPr>
                <w:sz w:val="24"/>
                <w:szCs w:val="24"/>
              </w:rPr>
              <w:t xml:space="preserve">    </w:t>
            </w:r>
            <w:r>
              <w:rPr>
                <w:rFonts w:hint="eastAsia"/>
                <w:sz w:val="24"/>
                <w:szCs w:val="24"/>
              </w:rPr>
              <w:t>话</w:t>
            </w:r>
          </w:p>
        </w:tc>
        <w:tc>
          <w:tcPr>
            <w:tcW w:w="2539" w:type="dxa"/>
            <w:vAlign w:val="center"/>
          </w:tcPr>
          <w:p>
            <w:pPr>
              <w:keepNext/>
              <w:keepLines/>
              <w:spacing w:before="340" w:after="330" w:line="200" w:lineRule="exact"/>
              <w:jc w:val="center"/>
              <w:rPr>
                <w:sz w:val="24"/>
                <w:szCs w:val="24"/>
              </w:rPr>
            </w:pPr>
          </w:p>
        </w:tc>
        <w:tc>
          <w:tcPr>
            <w:tcW w:w="1813" w:type="dxa"/>
            <w:vMerge w:val="continue"/>
            <w:vAlign w:val="center"/>
          </w:tcPr>
          <w:p>
            <w:pPr>
              <w:keepNext/>
              <w:keepLines/>
              <w:spacing w:before="340" w:after="330" w:line="2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632" w:type="dxa"/>
            <w:vAlign w:val="center"/>
          </w:tcPr>
          <w:p>
            <w:pPr>
              <w:spacing w:line="380" w:lineRule="exact"/>
              <w:jc w:val="center"/>
              <w:rPr>
                <w:sz w:val="24"/>
                <w:szCs w:val="24"/>
              </w:rPr>
            </w:pPr>
            <w:r>
              <w:rPr>
                <w:rFonts w:hint="eastAsia"/>
                <w:sz w:val="24"/>
                <w:szCs w:val="24"/>
              </w:rPr>
              <w:t>签约单位</w:t>
            </w:r>
          </w:p>
          <w:p>
            <w:pPr>
              <w:spacing w:line="380" w:lineRule="exact"/>
              <w:jc w:val="center"/>
              <w:rPr>
                <w:sz w:val="24"/>
                <w:szCs w:val="24"/>
              </w:rPr>
            </w:pPr>
            <w:r>
              <w:rPr>
                <w:rFonts w:hint="eastAsia"/>
                <w:sz w:val="24"/>
                <w:szCs w:val="24"/>
              </w:rPr>
              <w:t>（项目名称）</w:t>
            </w:r>
          </w:p>
        </w:tc>
        <w:tc>
          <w:tcPr>
            <w:tcW w:w="2357" w:type="dxa"/>
            <w:vAlign w:val="center"/>
          </w:tcPr>
          <w:p>
            <w:pPr>
              <w:keepNext/>
              <w:keepLines/>
              <w:spacing w:before="340" w:after="330" w:line="200" w:lineRule="exact"/>
              <w:jc w:val="center"/>
              <w:rPr>
                <w:sz w:val="24"/>
                <w:szCs w:val="24"/>
              </w:rPr>
            </w:pPr>
          </w:p>
        </w:tc>
        <w:tc>
          <w:tcPr>
            <w:tcW w:w="1451" w:type="dxa"/>
            <w:vAlign w:val="center"/>
          </w:tcPr>
          <w:p>
            <w:pPr>
              <w:spacing w:line="380" w:lineRule="exact"/>
              <w:jc w:val="center"/>
              <w:rPr>
                <w:rFonts w:ascii="黑体" w:eastAsia="黑体"/>
                <w:b/>
                <w:sz w:val="24"/>
                <w:szCs w:val="24"/>
              </w:rPr>
            </w:pPr>
            <w:r>
              <w:rPr>
                <w:rFonts w:hint="eastAsia" w:ascii="黑体" w:eastAsia="黑体"/>
                <w:b/>
                <w:sz w:val="24"/>
                <w:szCs w:val="24"/>
              </w:rPr>
              <w:t>中信银行卡卡</w:t>
            </w:r>
            <w:r>
              <w:rPr>
                <w:rFonts w:ascii="黑体" w:eastAsia="黑体"/>
                <w:b/>
                <w:sz w:val="24"/>
                <w:szCs w:val="24"/>
              </w:rPr>
              <w:t xml:space="preserve">  </w:t>
            </w:r>
            <w:r>
              <w:rPr>
                <w:rFonts w:hint="eastAsia" w:ascii="黑体" w:eastAsia="黑体"/>
                <w:b/>
                <w:sz w:val="24"/>
                <w:szCs w:val="24"/>
              </w:rPr>
              <w:t>号</w:t>
            </w:r>
          </w:p>
        </w:tc>
        <w:tc>
          <w:tcPr>
            <w:tcW w:w="2539" w:type="dxa"/>
            <w:vAlign w:val="center"/>
          </w:tcPr>
          <w:p>
            <w:pPr>
              <w:keepNext/>
              <w:keepLines/>
              <w:spacing w:before="340" w:after="330" w:line="200" w:lineRule="exact"/>
              <w:jc w:val="center"/>
              <w:rPr>
                <w:sz w:val="24"/>
                <w:szCs w:val="24"/>
              </w:rPr>
            </w:pPr>
          </w:p>
        </w:tc>
        <w:tc>
          <w:tcPr>
            <w:tcW w:w="1813" w:type="dxa"/>
            <w:vMerge w:val="continue"/>
            <w:vAlign w:val="center"/>
          </w:tcPr>
          <w:p>
            <w:pPr>
              <w:keepNext/>
              <w:keepLines/>
              <w:spacing w:before="340" w:after="330" w:line="2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632" w:type="dxa"/>
            <w:vAlign w:val="center"/>
          </w:tcPr>
          <w:p>
            <w:pPr>
              <w:spacing w:line="380" w:lineRule="exact"/>
              <w:jc w:val="center"/>
              <w:rPr>
                <w:sz w:val="24"/>
                <w:szCs w:val="24"/>
              </w:rPr>
            </w:pPr>
            <w:r>
              <w:rPr>
                <w:rFonts w:hint="eastAsia"/>
                <w:sz w:val="24"/>
                <w:szCs w:val="24"/>
              </w:rPr>
              <w:t>单位地址</w:t>
            </w:r>
          </w:p>
        </w:tc>
        <w:tc>
          <w:tcPr>
            <w:tcW w:w="2357" w:type="dxa"/>
            <w:vAlign w:val="center"/>
          </w:tcPr>
          <w:p>
            <w:pPr>
              <w:keepNext/>
              <w:keepLines/>
              <w:spacing w:before="340" w:after="330" w:line="180" w:lineRule="exact"/>
              <w:jc w:val="center"/>
              <w:rPr>
                <w:sz w:val="24"/>
                <w:szCs w:val="24"/>
              </w:rPr>
            </w:pPr>
          </w:p>
        </w:tc>
        <w:tc>
          <w:tcPr>
            <w:tcW w:w="1451" w:type="dxa"/>
            <w:vAlign w:val="center"/>
          </w:tcPr>
          <w:p>
            <w:pPr>
              <w:spacing w:line="380" w:lineRule="exact"/>
              <w:jc w:val="center"/>
              <w:rPr>
                <w:rFonts w:ascii="黑体" w:eastAsia="黑体"/>
                <w:b/>
                <w:sz w:val="24"/>
                <w:szCs w:val="24"/>
              </w:rPr>
            </w:pPr>
            <w:r>
              <w:rPr>
                <w:rFonts w:hint="eastAsia" w:ascii="黑体" w:eastAsia="黑体"/>
                <w:b/>
                <w:sz w:val="24"/>
                <w:szCs w:val="24"/>
              </w:rPr>
              <w:t>奖励类别</w:t>
            </w:r>
          </w:p>
          <w:p>
            <w:pPr>
              <w:spacing w:line="380" w:lineRule="exact"/>
              <w:jc w:val="center"/>
              <w:rPr>
                <w:sz w:val="24"/>
                <w:szCs w:val="24"/>
              </w:rPr>
            </w:pPr>
            <w:r>
              <w:rPr>
                <w:rFonts w:hint="eastAsia" w:ascii="黑体" w:eastAsia="黑体"/>
                <w:b/>
                <w:sz w:val="24"/>
                <w:szCs w:val="24"/>
              </w:rPr>
              <w:t>及金额</w:t>
            </w:r>
          </w:p>
        </w:tc>
        <w:tc>
          <w:tcPr>
            <w:tcW w:w="4352" w:type="dxa"/>
            <w:gridSpan w:val="2"/>
            <w:vAlign w:val="center"/>
          </w:tcPr>
          <w:p>
            <w:pPr>
              <w:keepNext/>
              <w:keepLines/>
              <w:spacing w:before="340" w:after="330" w:line="1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632" w:type="dxa"/>
            <w:vAlign w:val="center"/>
          </w:tcPr>
          <w:p>
            <w:pPr>
              <w:spacing w:line="380" w:lineRule="exact"/>
              <w:jc w:val="center"/>
              <w:rPr>
                <w:sz w:val="24"/>
                <w:szCs w:val="24"/>
              </w:rPr>
            </w:pPr>
            <w:r>
              <w:rPr>
                <w:rFonts w:hint="eastAsia"/>
                <w:sz w:val="24"/>
                <w:szCs w:val="24"/>
              </w:rPr>
              <w:t>单</w:t>
            </w:r>
            <w:r>
              <w:rPr>
                <w:sz w:val="24"/>
                <w:szCs w:val="24"/>
              </w:rPr>
              <w:t xml:space="preserve">    </w:t>
            </w:r>
            <w:r>
              <w:rPr>
                <w:rFonts w:hint="eastAsia"/>
                <w:sz w:val="24"/>
                <w:szCs w:val="24"/>
              </w:rPr>
              <w:t>位</w:t>
            </w:r>
          </w:p>
          <w:p>
            <w:pPr>
              <w:spacing w:line="380" w:lineRule="exact"/>
              <w:jc w:val="center"/>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p>
        </w:tc>
        <w:tc>
          <w:tcPr>
            <w:tcW w:w="2357" w:type="dxa"/>
            <w:vAlign w:val="center"/>
          </w:tcPr>
          <w:p>
            <w:pPr>
              <w:keepNext/>
              <w:keepLines/>
              <w:spacing w:before="340" w:after="330" w:line="200" w:lineRule="exact"/>
              <w:jc w:val="center"/>
              <w:rPr>
                <w:sz w:val="24"/>
                <w:szCs w:val="24"/>
              </w:rPr>
            </w:pPr>
          </w:p>
        </w:tc>
        <w:tc>
          <w:tcPr>
            <w:tcW w:w="1451" w:type="dxa"/>
            <w:vAlign w:val="center"/>
          </w:tcPr>
          <w:p>
            <w:pPr>
              <w:spacing w:line="380" w:lineRule="exact"/>
              <w:jc w:val="center"/>
              <w:rPr>
                <w:sz w:val="24"/>
                <w:szCs w:val="24"/>
              </w:rPr>
            </w:pPr>
            <w:r>
              <w:rPr>
                <w:rFonts w:hint="eastAsia"/>
                <w:sz w:val="24"/>
                <w:szCs w:val="24"/>
              </w:rPr>
              <w:t>单</w:t>
            </w:r>
            <w:r>
              <w:rPr>
                <w:sz w:val="24"/>
                <w:szCs w:val="24"/>
              </w:rPr>
              <w:t xml:space="preserve"> </w:t>
            </w:r>
            <w:r>
              <w:rPr>
                <w:rFonts w:hint="eastAsia"/>
                <w:sz w:val="24"/>
                <w:szCs w:val="24"/>
              </w:rPr>
              <w:t>位</w:t>
            </w:r>
          </w:p>
          <w:p>
            <w:pPr>
              <w:spacing w:line="380" w:lineRule="exact"/>
              <w:jc w:val="center"/>
              <w:rPr>
                <w:sz w:val="24"/>
                <w:szCs w:val="24"/>
              </w:rPr>
            </w:pPr>
            <w:r>
              <w:rPr>
                <w:rFonts w:hint="eastAsia"/>
                <w:sz w:val="24"/>
                <w:szCs w:val="24"/>
              </w:rPr>
              <w:t>联系电话</w:t>
            </w:r>
          </w:p>
        </w:tc>
        <w:tc>
          <w:tcPr>
            <w:tcW w:w="4352" w:type="dxa"/>
            <w:gridSpan w:val="2"/>
            <w:vAlign w:val="center"/>
          </w:tcPr>
          <w:p>
            <w:pPr>
              <w:keepNext/>
              <w:keepLines/>
              <w:spacing w:before="340" w:after="330" w:line="2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632" w:type="dxa"/>
            <w:vAlign w:val="center"/>
          </w:tcPr>
          <w:p>
            <w:pPr>
              <w:spacing w:line="360" w:lineRule="exact"/>
              <w:jc w:val="center"/>
              <w:rPr>
                <w:sz w:val="24"/>
                <w:szCs w:val="24"/>
              </w:rPr>
            </w:pPr>
            <w:r>
              <w:rPr>
                <w:rFonts w:hint="eastAsia"/>
                <w:sz w:val="24"/>
                <w:szCs w:val="24"/>
              </w:rPr>
              <w:t>本人签署意见</w:t>
            </w:r>
          </w:p>
        </w:tc>
        <w:tc>
          <w:tcPr>
            <w:tcW w:w="8160" w:type="dxa"/>
            <w:gridSpan w:val="4"/>
            <w:vAlign w:val="center"/>
          </w:tcPr>
          <w:p>
            <w:pPr>
              <w:spacing w:line="360" w:lineRule="exact"/>
              <w:ind w:firstLine="420"/>
              <w:rPr>
                <w:sz w:val="24"/>
                <w:szCs w:val="24"/>
              </w:rPr>
            </w:pPr>
            <w:r>
              <w:rPr>
                <w:rFonts w:hint="eastAsia"/>
                <w:sz w:val="24"/>
                <w:szCs w:val="24"/>
              </w:rPr>
              <w:t>获得奖励的毕业生，在次年</w:t>
            </w:r>
            <w:r>
              <w:rPr>
                <w:sz w:val="24"/>
                <w:szCs w:val="24"/>
              </w:rPr>
              <w:t>6</w:t>
            </w:r>
            <w:r>
              <w:rPr>
                <w:rFonts w:hint="eastAsia"/>
                <w:sz w:val="24"/>
                <w:szCs w:val="24"/>
              </w:rPr>
              <w:t>月</w:t>
            </w:r>
            <w:r>
              <w:rPr>
                <w:sz w:val="24"/>
                <w:szCs w:val="24"/>
              </w:rPr>
              <w:t>30</w:t>
            </w:r>
            <w:r>
              <w:rPr>
                <w:rFonts w:hint="eastAsia"/>
                <w:sz w:val="24"/>
                <w:szCs w:val="24"/>
              </w:rPr>
              <w:t>日前提出违约需办理改派的，需将奖励证书、全额奖金退还学校方可办理后续手续；本表所填写内容全部属实，如有虚假或不符之处，本人愿意承担一切责任。</w:t>
            </w:r>
          </w:p>
          <w:p>
            <w:pPr>
              <w:spacing w:line="360" w:lineRule="exact"/>
              <w:rPr>
                <w:sz w:val="24"/>
                <w:szCs w:val="24"/>
              </w:rPr>
            </w:pPr>
            <w:r>
              <w:rPr>
                <w:rFonts w:hint="eastAsia"/>
                <w:sz w:val="24"/>
                <w:szCs w:val="24"/>
              </w:rPr>
              <w:t xml:space="preserve">                                              签字：</w:t>
            </w:r>
            <w:r>
              <w:rPr>
                <w:sz w:val="24"/>
                <w:szCs w:val="24"/>
              </w:rPr>
              <w:t xml:space="preserve">                            </w:t>
            </w:r>
          </w:p>
          <w:p>
            <w:pPr>
              <w:spacing w:line="360" w:lineRule="exact"/>
              <w:ind w:right="420"/>
              <w:rPr>
                <w:sz w:val="24"/>
                <w:szCs w:val="24"/>
              </w:rPr>
            </w:pPr>
            <w:r>
              <w:rPr>
                <w:rFonts w:hint="eastAsia"/>
                <w:sz w:val="24"/>
                <w:szCs w:val="24"/>
              </w:rPr>
              <w:t xml:space="preserve">                                                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32" w:type="dxa"/>
            <w:vAlign w:val="center"/>
          </w:tcPr>
          <w:p>
            <w:pPr>
              <w:spacing w:line="360" w:lineRule="exact"/>
              <w:jc w:val="center"/>
              <w:rPr>
                <w:sz w:val="24"/>
                <w:szCs w:val="24"/>
              </w:rPr>
            </w:pPr>
            <w:r>
              <w:rPr>
                <w:rFonts w:hint="eastAsia"/>
                <w:sz w:val="24"/>
                <w:szCs w:val="24"/>
              </w:rPr>
              <w:t>院</w:t>
            </w:r>
            <w:r>
              <w:rPr>
                <w:sz w:val="24"/>
                <w:szCs w:val="24"/>
              </w:rPr>
              <w:t xml:space="preserve"> </w:t>
            </w:r>
            <w:r>
              <w:rPr>
                <w:rFonts w:hint="eastAsia"/>
                <w:sz w:val="24"/>
                <w:szCs w:val="24"/>
              </w:rPr>
              <w:t>系</w:t>
            </w:r>
          </w:p>
          <w:p>
            <w:pPr>
              <w:spacing w:line="360" w:lineRule="exact"/>
              <w:jc w:val="center"/>
              <w:rPr>
                <w:sz w:val="24"/>
                <w:szCs w:val="24"/>
              </w:rPr>
            </w:pPr>
            <w:r>
              <w:rPr>
                <w:rFonts w:hint="eastAsia"/>
                <w:sz w:val="24"/>
                <w:szCs w:val="24"/>
              </w:rPr>
              <w:t>审核意见</w:t>
            </w:r>
          </w:p>
        </w:tc>
        <w:tc>
          <w:tcPr>
            <w:tcW w:w="8160" w:type="dxa"/>
            <w:gridSpan w:val="4"/>
            <w:vAlign w:val="center"/>
          </w:tcPr>
          <w:p>
            <w:pPr>
              <w:spacing w:line="360" w:lineRule="exact"/>
              <w:rPr>
                <w:sz w:val="24"/>
                <w:szCs w:val="24"/>
              </w:rPr>
            </w:pPr>
          </w:p>
          <w:p>
            <w:pPr>
              <w:spacing w:line="360" w:lineRule="exact"/>
              <w:jc w:val="center"/>
              <w:rPr>
                <w:sz w:val="24"/>
                <w:szCs w:val="24"/>
              </w:rPr>
            </w:pPr>
            <w:r>
              <w:rPr>
                <w:sz w:val="24"/>
                <w:szCs w:val="24"/>
              </w:rPr>
              <w:t xml:space="preserve">                              </w:t>
            </w:r>
            <w:r>
              <w:rPr>
                <w:rFonts w:hint="eastAsia"/>
                <w:sz w:val="24"/>
                <w:szCs w:val="24"/>
              </w:rPr>
              <w:t>（</w:t>
            </w:r>
            <w:r>
              <w:rPr>
                <w:sz w:val="24"/>
                <w:szCs w:val="24"/>
              </w:rPr>
              <w:t xml:space="preserve">  </w:t>
            </w:r>
            <w:r>
              <w:rPr>
                <w:rFonts w:hint="eastAsia"/>
                <w:sz w:val="24"/>
                <w:szCs w:val="24"/>
              </w:rPr>
              <w:t>盖</w:t>
            </w:r>
            <w:r>
              <w:rPr>
                <w:sz w:val="24"/>
                <w:szCs w:val="24"/>
              </w:rPr>
              <w:t xml:space="preserve">    </w:t>
            </w:r>
            <w:r>
              <w:rPr>
                <w:rFonts w:hint="eastAsia"/>
                <w:sz w:val="24"/>
                <w:szCs w:val="24"/>
              </w:rPr>
              <w:t>章</w:t>
            </w:r>
            <w:r>
              <w:rPr>
                <w:sz w:val="24"/>
                <w:szCs w:val="24"/>
              </w:rPr>
              <w:t xml:space="preserve"> </w:t>
            </w:r>
            <w:r>
              <w:rPr>
                <w:rFonts w:hint="eastAsia"/>
                <w:sz w:val="24"/>
                <w:szCs w:val="24"/>
              </w:rPr>
              <w:t>）</w:t>
            </w:r>
          </w:p>
          <w:p>
            <w:pPr>
              <w:spacing w:line="360" w:lineRule="exact"/>
              <w:jc w:val="center"/>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632" w:type="dxa"/>
            <w:vAlign w:val="center"/>
          </w:tcPr>
          <w:p>
            <w:pPr>
              <w:spacing w:line="360" w:lineRule="exact"/>
              <w:jc w:val="center"/>
              <w:rPr>
                <w:sz w:val="24"/>
                <w:szCs w:val="24"/>
              </w:rPr>
            </w:pPr>
            <w:r>
              <w:rPr>
                <w:rFonts w:hint="eastAsia"/>
                <w:sz w:val="24"/>
                <w:szCs w:val="24"/>
              </w:rPr>
              <w:t>就业创业中心</w:t>
            </w:r>
          </w:p>
          <w:p>
            <w:pPr>
              <w:spacing w:line="360" w:lineRule="exact"/>
              <w:jc w:val="center"/>
              <w:rPr>
                <w:sz w:val="24"/>
                <w:szCs w:val="24"/>
              </w:rPr>
            </w:pPr>
            <w:r>
              <w:rPr>
                <w:rFonts w:hint="eastAsia"/>
                <w:sz w:val="24"/>
                <w:szCs w:val="24"/>
              </w:rPr>
              <w:t>审核意见</w:t>
            </w:r>
          </w:p>
        </w:tc>
        <w:tc>
          <w:tcPr>
            <w:tcW w:w="8160" w:type="dxa"/>
            <w:gridSpan w:val="4"/>
            <w:vAlign w:val="center"/>
          </w:tcPr>
          <w:p>
            <w:pPr>
              <w:spacing w:line="320" w:lineRule="exact"/>
              <w:jc w:val="center"/>
              <w:rPr>
                <w:sz w:val="24"/>
                <w:szCs w:val="24"/>
              </w:rPr>
            </w:pPr>
          </w:p>
          <w:p>
            <w:pPr>
              <w:spacing w:line="320" w:lineRule="exact"/>
              <w:jc w:val="center"/>
              <w:rPr>
                <w:sz w:val="24"/>
                <w:szCs w:val="24"/>
              </w:rPr>
            </w:pPr>
          </w:p>
          <w:p>
            <w:pPr>
              <w:spacing w:line="320" w:lineRule="exact"/>
              <w:jc w:val="center"/>
              <w:rPr>
                <w:sz w:val="24"/>
                <w:szCs w:val="24"/>
              </w:rPr>
            </w:pPr>
            <w:r>
              <w:rPr>
                <w:sz w:val="24"/>
                <w:szCs w:val="24"/>
              </w:rPr>
              <w:t xml:space="preserve">                             </w:t>
            </w:r>
            <w:r>
              <w:rPr>
                <w:rFonts w:hint="eastAsia"/>
                <w:sz w:val="24"/>
                <w:szCs w:val="24"/>
              </w:rPr>
              <w:t>（</w:t>
            </w:r>
            <w:r>
              <w:rPr>
                <w:sz w:val="24"/>
                <w:szCs w:val="24"/>
              </w:rPr>
              <w:t xml:space="preserve">  </w:t>
            </w:r>
            <w:r>
              <w:rPr>
                <w:rFonts w:hint="eastAsia"/>
                <w:sz w:val="24"/>
                <w:szCs w:val="24"/>
              </w:rPr>
              <w:t>盖</w:t>
            </w:r>
            <w:r>
              <w:rPr>
                <w:sz w:val="24"/>
                <w:szCs w:val="24"/>
              </w:rPr>
              <w:t xml:space="preserve">    </w:t>
            </w:r>
            <w:r>
              <w:rPr>
                <w:rFonts w:hint="eastAsia"/>
                <w:sz w:val="24"/>
                <w:szCs w:val="24"/>
              </w:rPr>
              <w:t>章</w:t>
            </w:r>
            <w:r>
              <w:rPr>
                <w:sz w:val="24"/>
                <w:szCs w:val="24"/>
              </w:rPr>
              <w:t xml:space="preserve"> </w:t>
            </w:r>
            <w:r>
              <w:rPr>
                <w:rFonts w:hint="eastAsia"/>
                <w:sz w:val="24"/>
                <w:szCs w:val="24"/>
              </w:rPr>
              <w:t>）</w:t>
            </w:r>
          </w:p>
          <w:p>
            <w:pPr>
              <w:spacing w:line="320" w:lineRule="exact"/>
              <w:jc w:val="center"/>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32" w:type="dxa"/>
            <w:vAlign w:val="center"/>
          </w:tcPr>
          <w:p>
            <w:pPr>
              <w:spacing w:line="360" w:lineRule="exact"/>
              <w:jc w:val="center"/>
              <w:rPr>
                <w:sz w:val="24"/>
                <w:szCs w:val="24"/>
              </w:rPr>
            </w:pPr>
            <w:r>
              <w:rPr>
                <w:rFonts w:hint="eastAsia"/>
                <w:sz w:val="24"/>
                <w:szCs w:val="24"/>
              </w:rPr>
              <w:t>备注</w:t>
            </w:r>
          </w:p>
        </w:tc>
        <w:tc>
          <w:tcPr>
            <w:tcW w:w="8160" w:type="dxa"/>
            <w:gridSpan w:val="4"/>
            <w:vAlign w:val="center"/>
          </w:tcPr>
          <w:p>
            <w:pPr>
              <w:keepNext/>
              <w:keepLines/>
              <w:spacing w:before="340" w:after="330" w:line="240" w:lineRule="exact"/>
              <w:rPr>
                <w:sz w:val="24"/>
                <w:szCs w:val="24"/>
              </w:rPr>
            </w:pPr>
          </w:p>
        </w:tc>
      </w:tr>
    </w:tbl>
    <w:p>
      <w:pPr>
        <w:spacing w:line="280" w:lineRule="exact"/>
        <w:ind w:left="-470" w:leftChars="-275" w:hanging="399" w:hangingChars="169"/>
        <w:rPr>
          <w:sz w:val="24"/>
          <w:szCs w:val="24"/>
        </w:rPr>
      </w:pPr>
      <w:r>
        <w:rPr>
          <w:rFonts w:hint="eastAsia"/>
          <w:sz w:val="24"/>
          <w:szCs w:val="24"/>
        </w:rPr>
        <w:t xml:space="preserve">   注：</w:t>
      </w:r>
      <w:r>
        <w:rPr>
          <w:sz w:val="24"/>
          <w:szCs w:val="24"/>
        </w:rPr>
        <w:t xml:space="preserve">1. </w:t>
      </w:r>
      <w:r>
        <w:rPr>
          <w:rFonts w:hint="eastAsia"/>
          <w:sz w:val="24"/>
          <w:szCs w:val="24"/>
        </w:rPr>
        <w:t>本表需由奖励申请人亲自填写；</w:t>
      </w:r>
    </w:p>
    <w:p>
      <w:pPr>
        <w:spacing w:line="280" w:lineRule="exact"/>
        <w:ind w:left="-470" w:leftChars="-275" w:hanging="399" w:hangingChars="169"/>
        <w:rPr>
          <w:sz w:val="24"/>
          <w:szCs w:val="24"/>
        </w:rPr>
      </w:pPr>
      <w:r>
        <w:rPr>
          <w:rFonts w:hint="eastAsia"/>
          <w:sz w:val="24"/>
          <w:szCs w:val="24"/>
        </w:rPr>
        <w:t xml:space="preserve">       </w:t>
      </w:r>
      <w:r>
        <w:rPr>
          <w:sz w:val="24"/>
          <w:szCs w:val="24"/>
        </w:rPr>
        <w:t xml:space="preserve">2. </w:t>
      </w:r>
      <w:r>
        <w:rPr>
          <w:rFonts w:hint="eastAsia"/>
          <w:sz w:val="24"/>
          <w:szCs w:val="24"/>
        </w:rPr>
        <w:t>本表由申请人交由院系汇总，院系签署审核意见并盖章；</w:t>
      </w:r>
    </w:p>
    <w:p>
      <w:pPr>
        <w:spacing w:line="280" w:lineRule="exact"/>
        <w:ind w:left="-470" w:leftChars="-275" w:hanging="399" w:hangingChars="169"/>
        <w:rPr>
          <w:sz w:val="24"/>
          <w:szCs w:val="24"/>
        </w:rPr>
        <w:sectPr>
          <w:headerReference r:id="rId3" w:type="default"/>
          <w:footerReference r:id="rId4" w:type="default"/>
          <w:footerReference r:id="rId5" w:type="even"/>
          <w:pgSz w:w="11906" w:h="16838"/>
          <w:pgMar w:top="2098" w:right="1474" w:bottom="1985" w:left="1588" w:header="851" w:footer="1162" w:gutter="0"/>
          <w:pgNumType w:start="1"/>
          <w:cols w:space="425" w:num="1"/>
          <w:docGrid w:type="linesAndChars" w:linePitch="579" w:charSpace="-849"/>
        </w:sectPr>
      </w:pPr>
      <w:r>
        <w:rPr>
          <w:rFonts w:hint="eastAsia"/>
          <w:sz w:val="24"/>
          <w:szCs w:val="24"/>
        </w:rPr>
        <w:t xml:space="preserve">       </w:t>
      </w:r>
      <w:r>
        <w:rPr>
          <w:sz w:val="24"/>
          <w:szCs w:val="24"/>
        </w:rPr>
        <w:t xml:space="preserve">3. </w:t>
      </w:r>
      <w:r>
        <w:rPr>
          <w:rFonts w:hint="eastAsia"/>
          <w:sz w:val="24"/>
          <w:szCs w:val="24"/>
        </w:rPr>
        <w:t>请毕业生、各院系</w:t>
      </w:r>
      <w:r>
        <w:rPr>
          <w:rFonts w:hint="eastAsia" w:ascii="黑体" w:eastAsia="黑体"/>
          <w:b/>
          <w:sz w:val="24"/>
          <w:szCs w:val="24"/>
        </w:rPr>
        <w:t>严格按照报送时间</w:t>
      </w:r>
      <w:r>
        <w:rPr>
          <w:rFonts w:hint="eastAsia"/>
          <w:sz w:val="24"/>
          <w:szCs w:val="24"/>
        </w:rPr>
        <w:t>报送本表、毕业生三方协议复印件及汇总表。逾期未交材料的毕业生不列入奖励范围。</w:t>
      </w:r>
    </w:p>
    <w:tbl>
      <w:tblPr>
        <w:tblStyle w:val="5"/>
        <w:tblW w:w="13907" w:type="dxa"/>
        <w:tblInd w:w="93" w:type="dxa"/>
        <w:tblLayout w:type="fixed"/>
        <w:tblCellMar>
          <w:top w:w="0" w:type="dxa"/>
          <w:left w:w="108" w:type="dxa"/>
          <w:bottom w:w="0" w:type="dxa"/>
          <w:right w:w="108" w:type="dxa"/>
        </w:tblCellMar>
      </w:tblPr>
      <w:tblGrid>
        <w:gridCol w:w="437"/>
        <w:gridCol w:w="996"/>
        <w:gridCol w:w="992"/>
        <w:gridCol w:w="1054"/>
        <w:gridCol w:w="1639"/>
        <w:gridCol w:w="1560"/>
        <w:gridCol w:w="2126"/>
        <w:gridCol w:w="1843"/>
        <w:gridCol w:w="1701"/>
        <w:gridCol w:w="1559"/>
      </w:tblGrid>
      <w:tr>
        <w:tblPrEx>
          <w:tblLayout w:type="fixed"/>
          <w:tblCellMar>
            <w:top w:w="0" w:type="dxa"/>
            <w:left w:w="108" w:type="dxa"/>
            <w:bottom w:w="0" w:type="dxa"/>
            <w:right w:w="108" w:type="dxa"/>
          </w:tblCellMar>
        </w:tblPrEx>
        <w:trPr>
          <w:trHeight w:val="525" w:hRule="atLeast"/>
        </w:trPr>
        <w:tc>
          <w:tcPr>
            <w:tcW w:w="13907" w:type="dxa"/>
            <w:gridSpan w:val="10"/>
            <w:tcBorders>
              <w:top w:val="nil"/>
              <w:left w:val="nil"/>
              <w:bottom w:val="single" w:color="auto" w:sz="4" w:space="0"/>
              <w:right w:val="nil"/>
            </w:tcBorders>
            <w:shd w:val="clear" w:color="auto" w:fill="auto"/>
            <w:noWrap/>
            <w:vAlign w:val="center"/>
          </w:tcPr>
          <w:p>
            <w:pPr>
              <w:jc w:val="left"/>
              <w:rPr>
                <w:rFonts w:ascii="黑体" w:hAnsi="黑体" w:eastAsia="黑体"/>
                <w:szCs w:val="32"/>
              </w:rPr>
            </w:pPr>
            <w:r>
              <w:rPr>
                <w:rFonts w:hint="eastAsia" w:ascii="黑体" w:hAnsi="黑体" w:eastAsia="黑体"/>
                <w:szCs w:val="32"/>
              </w:rPr>
              <w:t>附件</w:t>
            </w:r>
            <w:r>
              <w:rPr>
                <w:rFonts w:ascii="黑体" w:hAnsi="黑体" w:eastAsia="黑体"/>
                <w:szCs w:val="32"/>
              </w:rPr>
              <w:t>4</w:t>
            </w:r>
          </w:p>
          <w:p>
            <w:pPr>
              <w:jc w:val="center"/>
              <w:rPr>
                <w:rFonts w:ascii="方正小标宋简体" w:eastAsia="方正小标宋简体"/>
                <w:szCs w:val="32"/>
              </w:rPr>
            </w:pPr>
            <w:r>
              <w:rPr>
                <w:rFonts w:hint="eastAsia" w:ascii="方正小标宋简体" w:eastAsia="方正小标宋简体"/>
                <w:szCs w:val="32"/>
              </w:rPr>
              <w:t>北京体育大学</w:t>
            </w:r>
            <w:r>
              <w:rPr>
                <w:rFonts w:ascii="方正小标宋简体" w:eastAsia="方正小标宋简体"/>
                <w:szCs w:val="32"/>
                <w:u w:val="single"/>
              </w:rPr>
              <w:t xml:space="preserve">    </w:t>
            </w:r>
            <w:r>
              <w:rPr>
                <w:rFonts w:hint="eastAsia" w:ascii="方正小标宋简体" w:eastAsia="方正小标宋简体"/>
                <w:szCs w:val="32"/>
              </w:rPr>
              <w:t>年发放去基层奖励毕业生汇总表</w:t>
            </w:r>
          </w:p>
        </w:tc>
      </w:tr>
      <w:tr>
        <w:tblPrEx>
          <w:tblLayout w:type="fixed"/>
          <w:tblCellMar>
            <w:top w:w="0" w:type="dxa"/>
            <w:left w:w="108" w:type="dxa"/>
            <w:bottom w:w="0" w:type="dxa"/>
            <w:right w:w="108" w:type="dxa"/>
          </w:tblCellMar>
        </w:tblPrEx>
        <w:trPr>
          <w:trHeight w:val="27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序</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姓名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专业</w:t>
            </w:r>
          </w:p>
        </w:tc>
        <w:tc>
          <w:tcPr>
            <w:tcW w:w="10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学号</w:t>
            </w:r>
          </w:p>
        </w:tc>
        <w:tc>
          <w:tcPr>
            <w:tcW w:w="1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电话</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签约单位</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单位地址</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单位电话</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中信卡号</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rPr>
            </w:pPr>
            <w:r>
              <w:rPr>
                <w:rFonts w:hint="eastAsia" w:ascii="宋体" w:hAnsi="宋体" w:cs="宋体"/>
                <w:b/>
                <w:bCs/>
                <w:color w:val="000000"/>
                <w:kern w:val="0"/>
                <w:sz w:val="28"/>
              </w:rPr>
              <w:t>奖励金额</w:t>
            </w:r>
          </w:p>
        </w:tc>
      </w:tr>
      <w:tr>
        <w:tblPrEx>
          <w:tblLayout w:type="fixed"/>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67" w:hRule="atLeast"/>
        </w:trPr>
        <w:tc>
          <w:tcPr>
            <w:tcW w:w="1390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b/>
                <w:sz w:val="28"/>
                <w:szCs w:val="32"/>
              </w:rPr>
              <w:t xml:space="preserve">院系（盖章）：        </w:t>
            </w:r>
            <w:r>
              <w:rPr>
                <w:rFonts w:hint="eastAsia" w:ascii="宋体" w:hAnsi="宋体" w:cs="宋体"/>
                <w:b/>
                <w:bCs/>
                <w:color w:val="000000"/>
                <w:kern w:val="0"/>
                <w:sz w:val="28"/>
              </w:rPr>
              <w:t>金额总计：           填表人:              院系</w:t>
            </w:r>
            <w:r>
              <w:rPr>
                <w:rFonts w:hint="eastAsia"/>
                <w:b/>
                <w:sz w:val="28"/>
                <w:szCs w:val="32"/>
              </w:rPr>
              <w:t>领导签字：</w:t>
            </w:r>
            <w:r>
              <w:rPr>
                <w:rFonts w:hint="eastAsia" w:ascii="宋体" w:hAnsi="宋体" w:cs="宋体"/>
                <w:color w:val="000000"/>
                <w:kern w:val="0"/>
                <w:sz w:val="20"/>
                <w:szCs w:val="20"/>
              </w:rPr>
              <w:t xml:space="preserve">                             </w:t>
            </w:r>
          </w:p>
        </w:tc>
      </w:tr>
    </w:tbl>
    <w:p>
      <w:pPr>
        <w:jc w:val="left"/>
        <w:rPr>
          <w:sz w:val="24"/>
        </w:rPr>
      </w:pPr>
      <w:r>
        <w:rPr>
          <w:rFonts w:hint="eastAsia"/>
          <w:sz w:val="24"/>
        </w:rPr>
        <w:t>注：</w:t>
      </w:r>
      <w:r>
        <w:rPr>
          <w:sz w:val="24"/>
        </w:rPr>
        <w:t xml:space="preserve">1. </w:t>
      </w:r>
      <w:r>
        <w:rPr>
          <w:rFonts w:hint="eastAsia"/>
          <w:sz w:val="24"/>
        </w:rPr>
        <w:t>为方便统计，本表请做成</w:t>
      </w:r>
      <w:r>
        <w:rPr>
          <w:sz w:val="24"/>
        </w:rPr>
        <w:t>excel</w:t>
      </w:r>
      <w:r>
        <w:rPr>
          <w:rFonts w:hint="eastAsia"/>
          <w:sz w:val="24"/>
        </w:rPr>
        <w:t>格式；</w:t>
      </w:r>
    </w:p>
    <w:p>
      <w:pPr>
        <w:ind w:firstLine="480" w:firstLineChars="200"/>
        <w:jc w:val="left"/>
        <w:rPr>
          <w:sz w:val="24"/>
        </w:rPr>
      </w:pPr>
      <w:r>
        <w:rPr>
          <w:sz w:val="24"/>
        </w:rPr>
        <w:t xml:space="preserve">2. </w:t>
      </w:r>
      <w:r>
        <w:rPr>
          <w:rFonts w:hint="eastAsia"/>
          <w:sz w:val="24"/>
        </w:rPr>
        <w:t>按照毕业生奖励金额从多到少降序排序。</w:t>
      </w:r>
    </w:p>
    <w:p>
      <w:pPr>
        <w:ind w:right="1605"/>
        <w:jc w:val="right"/>
        <w:rPr>
          <w:b/>
          <w:sz w:val="24"/>
          <w:u w:val="single"/>
        </w:rPr>
        <w:sectPr>
          <w:pgSz w:w="16838" w:h="11906" w:orient="landscape"/>
          <w:pgMar w:top="1797" w:right="1440" w:bottom="1797" w:left="1440" w:header="851" w:footer="992" w:gutter="0"/>
          <w:cols w:space="425" w:num="1"/>
          <w:docGrid w:type="linesAndChars" w:linePitch="312" w:charSpace="0"/>
        </w:sect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adjustRightInd w:val="0"/>
        <w:snapToGrid w:val="0"/>
        <w:spacing w:line="560" w:lineRule="exact"/>
        <w:rPr>
          <w:rFonts w:ascii="仿宋_GB2312" w:eastAsia="仿宋_GB2312"/>
        </w:rPr>
      </w:pPr>
    </w:p>
    <w:p>
      <w:pPr>
        <w:adjustRightInd w:val="0"/>
        <w:snapToGrid w:val="0"/>
        <w:spacing w:after="57" w:afterLines="10" w:line="560" w:lineRule="exact"/>
        <w:rPr>
          <w:rFonts w:ascii="仿宋_GB2312" w:eastAsia="仿宋_GB2312"/>
        </w:rPr>
      </w:pPr>
    </w:p>
    <w:p>
      <w:pPr>
        <w:adjustRightInd w:val="0"/>
        <w:snapToGrid w:val="0"/>
        <w:spacing w:line="560" w:lineRule="exact"/>
        <w:ind w:firstLine="316" w:firstLineChars="100"/>
        <w:rPr>
          <w:rFonts w:ascii="仿宋_GB2312" w:hAnsi="仿宋" w:eastAsia="仿宋_GB2312"/>
          <w:sz w:val="28"/>
          <w:szCs w:val="28"/>
        </w:rPr>
      </w:pPr>
      <w:r>
        <w:rPr>
          <w:rFonts w:ascii="仿宋_GB2312" w:eastAsia="仿宋_GB2312"/>
        </w:rPr>
        <mc:AlternateContent>
          <mc:Choice Requires="wps">
            <w:drawing>
              <wp:anchor distT="0" distB="0" distL="114300" distR="114300" simplePos="0" relativeHeight="251673600" behindDoc="0" locked="0" layoutInCell="1" allowOverlap="1">
                <wp:simplePos x="0" y="0"/>
                <wp:positionH relativeFrom="column">
                  <wp:posOffset>3001010</wp:posOffset>
                </wp:positionH>
                <wp:positionV relativeFrom="paragraph">
                  <wp:posOffset>426085</wp:posOffset>
                </wp:positionV>
                <wp:extent cx="2245360" cy="826770"/>
                <wp:effectExtent l="635" t="0" r="635" b="4445"/>
                <wp:wrapNone/>
                <wp:docPr id="4" name="Text Box 7"/>
                <wp:cNvGraphicFramePr/>
                <a:graphic xmlns:a="http://schemas.openxmlformats.org/drawingml/2006/main">
                  <a:graphicData uri="http://schemas.microsoft.com/office/word/2010/wordprocessingShape">
                    <wps:wsp>
                      <wps:cNvSpPr txBox="1">
                        <a:spLocks noChangeArrowheads="1"/>
                      </wps:cNvSpPr>
                      <wps:spPr bwMode="auto">
                        <a:xfrm>
                          <a:off x="0" y="0"/>
                          <a:ext cx="2245360" cy="826770"/>
                        </a:xfrm>
                        <a:prstGeom prst="rect">
                          <a:avLst/>
                        </a:prstGeom>
                        <a:solidFill>
                          <a:srgbClr val="FFFFFF"/>
                        </a:solidFill>
                        <a:ln>
                          <a:noFill/>
                        </a:ln>
                      </wps:spPr>
                      <wps:txbx>
                        <w:txbxContent>
                          <w:p>
                            <w:r>
                              <w:drawing>
                                <wp:inline distT="0" distB="0" distL="0" distR="0">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2023110" cy="4191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6" o:spt="202" type="#_x0000_t202" style="position:absolute;left:0pt;margin-left:236.3pt;margin-top:33.55pt;height:65.1pt;width:176.8pt;z-index:251673600;mso-width-relative:margin;mso-height-relative:margin;mso-width-percent:400;mso-height-percent:200;" fillcolor="#FFFFFF" filled="t" stroked="f" coordsize="21600,21600" o:gfxdata="UEsDBAoAAAAAAIdO4kAAAAAAAAAAAAAAAAAEAAAAZHJzL1BLAwQUAAAACACHTuJANIzYmNkAAAAK&#10;AQAADwAAAGRycy9kb3ducmV2LnhtbE2Py07DMBBF90j8gzVIbBB1YlBSQpyK54ZdSyp1OY2nSSC2&#10;o9h9wNczrGA5ukf3nikXJzuIA02h905DOktAkGu86V2roX5/vZ6DCBGdwcE70vBFARbV+VmJhfFH&#10;t6TDKraCS1woUEMX41hIGZqOLIaZH8lxtvOTxcjn1Eoz4ZHL7SBVkmTSYu94ocORnjpqPld7q+H7&#10;sX5+eLmK6U7FjVov7VvdfKDWlxdpcg8i0in+wfCrz+pQsdPW750JYtBwm6uMUQ1ZnoJgYK4yBWLL&#10;5F1+A7Iq5f8Xqh9QSwMEFAAAAAgAh07iQIvTGKz/AQAA7wMAAA4AAABkcnMvZTJvRG9jLnhtbK1T&#10;wW7bMAy9D9g/CLovTjw36Yw4RZciw4CuG9DuA2RZtoXZokYpsbOvHyUnWdDdhukgiCL5xPdIre/G&#10;vmMHhU6DKfhiNudMGQmVNk3Bv7/s3t1y5rwwlejAqIIfleN3m7dv1oPNVQotdJVCRiDG5YMteOu9&#10;zZPEyVb1ws3AKkPOGrAXnkxskgrFQOh9l6Tz+TIZACuLIJVzdPswOfkm4te1kv5rXTvlWVdwqs3H&#10;HeNehj3ZrEXeoLCtlqcyxD9U0Qtt6NEL1IPwgu1R/wXVa4ngoPYzCX0Cda2lihyIzWL+is1zK6yK&#10;XEgcZy8yuf8HK58O35DpquAZZ0b01KIXNXr2EUa2CuoM1uUU9GwpzI90TV2OTJ19BPnDMQPbVphG&#10;3SPC0CpRUXWLkJlcpU44LoCUwxeo6Bmx9xCBxhr7IB2JwQidunS8dCaUIukyTbOb90tySfLdpsvV&#10;KrYuEfk526LznxT0LBwKjtT5iC4Oj86HakR+DgmPOeh0tdNdFw1sym2H7CBoSnZxRQKvwjoTgg2E&#10;tAkx3ESagdnE0Y/leJKthOpIhBGmqaNfQocW8BdnA01cwd3PvUDFWffZkGgfFlkWRjQa2c0qJQOv&#10;PeW1RxhJUAX3nE3HrZ/Gem9RNy29dG7TPQm901GD0JGpqlPdNFVRmtMPCGN7bceoP/90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jNiY2QAAAAoBAAAPAAAAAAAAAAEAIAAAACIAAABkcnMvZG93&#10;bnJldi54bWxQSwECFAAUAAAACACHTuJAi9MYrP8BAADvAwAADgAAAAAAAAABACAAAAAoAQAAZHJz&#10;L2Uyb0RvYy54bWxQSwUGAAAAAAYABgBZAQAAmQUAAAAA&#10;">
                <v:fill on="t" focussize="0,0"/>
                <v:stroke on="f"/>
                <v:imagedata o:title=""/>
                <o:lock v:ext="edit" aspectratio="f"/>
                <v:textbox style="mso-fit-shape-to-text:t;">
                  <w:txbxContent>
                    <w:p>
                      <w:r>
                        <w:drawing>
                          <wp:inline distT="0" distB="0" distL="0" distR="0">
                            <wp:extent cx="2023110" cy="4191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2023110" cy="419100"/>
                                    </a:xfrm>
                                    <a:prstGeom prst="rect">
                                      <a:avLst/>
                                    </a:prstGeom>
                                  </pic:spPr>
                                </pic:pic>
                              </a:graphicData>
                            </a:graphic>
                          </wp:inline>
                        </w:drawing>
                      </w:r>
                    </w:p>
                  </w:txbxContent>
                </v:textbox>
              </v:shape>
            </w:pict>
          </mc:Fallback>
        </mc:AlternateContent>
      </w:r>
      <w:r>
        <w:rPr>
          <w:rFonts w:ascii="仿宋_GB2312" w:hAnsi="仿宋"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356235</wp:posOffset>
                </wp:positionV>
                <wp:extent cx="5615940" cy="14605"/>
                <wp:effectExtent l="9525" t="13335" r="13335" b="1016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1.5pt;margin-top:28.05pt;height:1.15pt;width:442.2pt;z-index:251670528;mso-width-relative:page;mso-height-relative:page;" filled="f" stroked="t" coordsize="21600,21600" o:gfxdata="UEsDBAoAAAAAAIdO4kAAAAAAAAAAAAAAAAAEAAAAZHJzL1BLAwQUAAAACACHTuJAGLJRLtgAAAAH&#10;AQAADwAAAGRycy9kb3ducmV2LnhtbE2PzU7DMBCE70i8g7VI3KiTUlorxOkBVFUgLm2RuLrxNk6J&#10;12ns/vD2LKdy3JnRzLfl/OI7ccIhtoE05KMMBFIdbEuNhs/N4kGBiMmQNV0g1PCDEebV7U1pChvO&#10;tMLTOjWCSygWRoNLqS+kjLVDb+Io9Ejs7cLgTeJzaKQdzJnLfSfHWTaV3rTEC870+OKw/l4fvQbz&#10;ulylLzV+n7Vv7mO/WRyWTh20vr/Ls2cQCS/pGoY/fEaHipm24Ug2ik7DI3+SNDxNcxBsKzWbgNiy&#10;oCYgq1L+569+AVBLAwQUAAAACACHTuJAuNZwA7QBAABWAwAADgAAAGRycy9lMm9Eb2MueG1srVNN&#10;j9sgEL1X6n9A3Bvb6SbtWnH2kNX2kraRdvsDCB82KjAISOz8+w7ko9v2tqoPyMPMPN57A6uHyRpy&#10;lCFqcB1tZjUl0nEQ2vUd/fHy9OEzJTExJ5gBJzt6kpE+rN+/W42+lXMYwAgZCIK42I6+o0NKvq2q&#10;yAdpWZyBlw6TCoJlCcPQVyKwEdGtqeZ1vaxGCMIH4DJG3H08J+m64CslefquVJSJmI4it1TWUNZ9&#10;Xqv1irV9YH7Q/EKDvYGFZdrhoTeoR5YYOQT9D5TVPEAElWYcbAVKaS6LBlTT1H+peR6Yl0ULmhP9&#10;zab4/2D5t+MuEC06+pESxyyOaKudJIvszOhjiwUbtwtZG5/cs98C/xmJg83AXC8Lw5eTx7Ymd1R/&#10;tOQgesTfj19BYA07JCg2TSrYDIkGkKlM43SbhpwS4bi5WDaL+zscGsdcc7esC6eKtddmH2L6IsGS&#10;/NNRg7wLODtuY8pkWHstyWc5eNLGlIEbR0bEnH+q69IRwWiRs7kuhn6/MYEcWb4z5SvSMPO6LMDB&#10;ifMpxl2UZ7Fn2/YgTrtwdQSHV+hcLlq+Ha/j0v37O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iyUS7YAAAABwEAAA8AAAAAAAAAAQAgAAAAIgAAAGRycy9kb3ducmV2LnhtbFBLAQIUABQAAAAI&#10;AIdO4kC41nADtAEAAFYDAAAOAAAAAAAAAAEAIAAAACcBAABkcnMvZTJvRG9jLnhtbFBLBQYAAAAA&#10;BgAGAFkBAABNBQAAAAA=&#10;">
                <v:fill on="f" focussize="0,0"/>
                <v:stroke weight="1pt" color="#000000" joinstyle="round"/>
                <v:imagedata o:title=""/>
                <o:lock v:ext="edit" aspectratio="f"/>
              </v:line>
            </w:pict>
          </mc:Fallback>
        </mc:AlternateContent>
      </w:r>
      <w:r>
        <w:rPr>
          <w:rFonts w:ascii="仿宋_GB2312" w:hAnsi="仿宋" w:eastAsia="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44450</wp:posOffset>
                </wp:positionV>
                <wp:extent cx="5615940" cy="10795"/>
                <wp:effectExtent l="11430" t="15875" r="11430" b="11430"/>
                <wp:wrapNone/>
                <wp:docPr id="2" name="Line 6"/>
                <wp:cNvGraphicFramePr/>
                <a:graphic xmlns:a="http://schemas.openxmlformats.org/drawingml/2006/main">
                  <a:graphicData uri="http://schemas.microsoft.com/office/word/2010/wordprocessingShape">
                    <wps:wsp>
                      <wps:cNvCnPr>
                        <a:cxnSpLocks noChangeShapeType="1"/>
                      </wps:cNvCnPr>
                      <wps:spPr bwMode="auto">
                        <a:xfrm>
                          <a:off x="0" y="0"/>
                          <a:ext cx="5615940" cy="10795"/>
                        </a:xfrm>
                        <a:prstGeom prst="line">
                          <a:avLst/>
                        </a:prstGeom>
                        <a:noFill/>
                        <a:ln w="12700">
                          <a:solidFill>
                            <a:srgbClr val="000000"/>
                          </a:solidFill>
                          <a:round/>
                        </a:ln>
                      </wps:spPr>
                      <wps:bodyPr/>
                    </wps:wsp>
                  </a:graphicData>
                </a:graphic>
              </wp:anchor>
            </w:drawing>
          </mc:Choice>
          <mc:Fallback>
            <w:pict>
              <v:line id="Line 6" o:spid="_x0000_s1026" o:spt="20" style="position:absolute;left:0pt;margin-left:0.9pt;margin-top:3.5pt;height:0.85pt;width:442.2pt;z-index:251671552;mso-width-relative:page;mso-height-relative:page;" filled="f" stroked="t" coordsize="21600,21600" o:gfxdata="UEsDBAoAAAAAAIdO4kAAAAAAAAAAAAAAAAAEAAAAZHJzL1BLAwQUAAAACACHTuJA3XVCrdQAAAAF&#10;AQAADwAAAGRycy9kb3ducmV2LnhtbE2PS0/DMBCE70j8B2uRuFGnOTRWiNMDqKpAXPqQuG6TJQ7E&#10;6zR2H/x7lhPcZjSrmW+r5dUP6kxT7ANbmM8yUMRNaHvuLOx3qwcDKibkFofAZOGbIizr25sKyzZc&#10;eEPnbeqUlHAs0YJLaSy1jo0jj3EWRmLJPsLkMYmdOt1OeJFyP+g8yxbaY8+y4HCkJ0fN1/bkLeDz&#10;epPeTf5a9C/u7XO3Oq6dOVp7fzfPHkEluqa/Y/jFF3SohekQTtxGNYgX8GShkIckNWaRgzqIKEDX&#10;lf5PX/8AUEsDBBQAAAAIAIdO4kAb5NviswEAAFYDAAAOAAAAZHJzL2Uyb0RvYy54bWytU8tu2zAQ&#10;vBfoPxC815KM2mkEyzk4SC9uayDpB9B8SERJLkHSlvz3XdKPNs0tqA6EyN2dnZklVw+TNeQoQ9Tg&#10;OtrMakqk4yC06zv68+Xp0xdKYmJOMANOdvQkI31Yf/ywGn0r5zCAETIQBHGxHX1Hh5R8W1WRD9Ky&#10;OAMvHQYVBMsSbkNficBGRLemmtf1shohCB+Ayxjx9PEcpOuCr5Tk6YdSUSZiOorcUllDWfd5rdYr&#10;1vaB+UHzCw32DhaWaYdNb1CPLDFyCPoNlNU8QASVZhxsBUppLosGVNPU/6h5HpiXRQuaE/3Npvj/&#10;YPn34y4QLTo6p8QxiyPaaifJMjsz+thiwsbtQtbGJ/fst8B/ReJgMzDXy8Lw5eSxrMkV1auSvIke&#10;8ffjNxCYww4Jik2TCjZDogFkKtM43aYhp0Q4Hi6WzeL+Mw6NY6yp7+4XpQNrr8U+xPRVgiX5p6MG&#10;eRdwdtzGlMmw9pqSezl40saUgRtHRsSc39V1qYhgtMjRnBdDv9+YQI4s35nyXRq/SgtwcOLcxbiL&#10;8iz2bNsexGkXro7g8Aqdy0XLt+Pvfan+8xz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dUKt&#10;1AAAAAUBAAAPAAAAAAAAAAEAIAAAACIAAABkcnMvZG93bnJldi54bWxQSwECFAAUAAAACACHTuJA&#10;G+Tb4rMBAABWAwAADgAAAAAAAAABACAAAAAjAQAAZHJzL2Uyb0RvYy54bWxQSwUGAAAAAAYABgBZ&#10;AQAASAUAAAAA&#10;">
                <v:fill on="f" focussize="0,0"/>
                <v:stroke weight="1pt" color="#000000" joinstyle="round"/>
                <v:imagedata o:title=""/>
                <o:lock v:ext="edit" aspectratio="f"/>
              </v:line>
            </w:pict>
          </mc:Fallback>
        </mc:AlternateContent>
      </w:r>
      <w:r>
        <w:rPr>
          <w:rFonts w:hint="eastAsia" w:ascii="仿宋_GB2312" w:hAnsi="仿宋" w:eastAsia="仿宋_GB2312"/>
          <w:sz w:val="28"/>
          <w:szCs w:val="28"/>
        </w:rPr>
        <w:t xml:space="preserve">北京体育大学校（党委）办公室              2017年4月5日印发  </w:t>
      </w:r>
    </w:p>
    <w:sectPr>
      <w:footerReference r:id="rId8" w:type="first"/>
      <w:footerReference r:id="rId6" w:type="default"/>
      <w:footerReference r:id="rId7" w:type="even"/>
      <w:pgSz w:w="11906" w:h="16838"/>
      <w:pgMar w:top="2098" w:right="1474" w:bottom="1985" w:left="1588" w:header="851" w:footer="116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等线"/>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3000515"/>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sdtContent>
    </w:sdt>
    <w:r>
      <w:rPr>
        <w:rFonts w:asciiTheme="minorEastAsia" w:hAnsiTheme="minorEastAsia" w:eastAsiaTheme="minorEastAsia"/>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sdt>
      <w:sdtPr>
        <w:rPr>
          <w:rFonts w:hint="eastAsia" w:asciiTheme="minorEastAsia" w:hAnsiTheme="minorEastAsia" w:eastAsiaTheme="minorEastAsia"/>
          <w:sz w:val="28"/>
          <w:szCs w:val="28"/>
        </w:rPr>
        <w:id w:val="23000525"/>
        <w:docPartObj>
          <w:docPartGallery w:val="AutoText"/>
        </w:docPartObj>
      </w:sdtPr>
      <w:sdtEndPr>
        <w:rPr>
          <w:rFonts w:hint="eastAsia"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sdtContent>
    </w:sdt>
    <w:r>
      <w:rPr>
        <w:rFonts w:asciiTheme="minorEastAsia" w:hAnsiTheme="minorEastAsia" w:eastAsiaTheme="minorEastAsia"/>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339"/>
      <w:docPartObj>
        <w:docPartGallery w:val="AutoText"/>
      </w:docPartObj>
    </w:sdtPr>
    <w:sdtContent>
      <w:p>
        <w:pPr>
          <w:pStyle w:val="3"/>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tabs>
        <w:tab w:val="left" w:pos="3282"/>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341"/>
      <w:docPartObj>
        <w:docPartGallery w:val="AutoText"/>
      </w:docPartObj>
    </w:sdtPr>
    <w:sdtContent>
      <w:p>
        <w:pPr>
          <w:pStyle w:val="3"/>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eastAsiaTheme="minorEastAsia"/>
        <w:sz w:val="28"/>
        <w:szCs w:val="28"/>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9B"/>
    <w:rsid w:val="00007A3E"/>
    <w:rsid w:val="00012147"/>
    <w:rsid w:val="0001529A"/>
    <w:rsid w:val="00044AC9"/>
    <w:rsid w:val="00071B0F"/>
    <w:rsid w:val="0008618C"/>
    <w:rsid w:val="00086C46"/>
    <w:rsid w:val="00086CA2"/>
    <w:rsid w:val="000A6B0D"/>
    <w:rsid w:val="000C6396"/>
    <w:rsid w:val="000D1244"/>
    <w:rsid w:val="000D5097"/>
    <w:rsid w:val="000F1309"/>
    <w:rsid w:val="000F3E3C"/>
    <w:rsid w:val="000F4B74"/>
    <w:rsid w:val="00134A4F"/>
    <w:rsid w:val="0015606F"/>
    <w:rsid w:val="0017397A"/>
    <w:rsid w:val="001741B4"/>
    <w:rsid w:val="001833E6"/>
    <w:rsid w:val="00184015"/>
    <w:rsid w:val="00190B56"/>
    <w:rsid w:val="001A1F37"/>
    <w:rsid w:val="001A7D88"/>
    <w:rsid w:val="001F2E28"/>
    <w:rsid w:val="00204BB0"/>
    <w:rsid w:val="002074BD"/>
    <w:rsid w:val="002119FB"/>
    <w:rsid w:val="00212E61"/>
    <w:rsid w:val="00266389"/>
    <w:rsid w:val="00271108"/>
    <w:rsid w:val="00271296"/>
    <w:rsid w:val="00273931"/>
    <w:rsid w:val="00274AE6"/>
    <w:rsid w:val="00293A36"/>
    <w:rsid w:val="00293DD8"/>
    <w:rsid w:val="002D62EE"/>
    <w:rsid w:val="002E49A5"/>
    <w:rsid w:val="00304DA5"/>
    <w:rsid w:val="003258A7"/>
    <w:rsid w:val="003447A0"/>
    <w:rsid w:val="003543CB"/>
    <w:rsid w:val="00354852"/>
    <w:rsid w:val="00356844"/>
    <w:rsid w:val="00361C2C"/>
    <w:rsid w:val="00374915"/>
    <w:rsid w:val="00382CF0"/>
    <w:rsid w:val="003855A0"/>
    <w:rsid w:val="00387E57"/>
    <w:rsid w:val="003C2278"/>
    <w:rsid w:val="003C63E6"/>
    <w:rsid w:val="003C7BD7"/>
    <w:rsid w:val="003D59A9"/>
    <w:rsid w:val="003E0012"/>
    <w:rsid w:val="003E5105"/>
    <w:rsid w:val="003F79E7"/>
    <w:rsid w:val="004258CE"/>
    <w:rsid w:val="00441C48"/>
    <w:rsid w:val="00453511"/>
    <w:rsid w:val="0045717A"/>
    <w:rsid w:val="00473E3A"/>
    <w:rsid w:val="004C55B6"/>
    <w:rsid w:val="004D45C4"/>
    <w:rsid w:val="00500B56"/>
    <w:rsid w:val="005075CC"/>
    <w:rsid w:val="00517CC9"/>
    <w:rsid w:val="00527129"/>
    <w:rsid w:val="00552846"/>
    <w:rsid w:val="0057083E"/>
    <w:rsid w:val="0057331C"/>
    <w:rsid w:val="00574E9A"/>
    <w:rsid w:val="005A1D8B"/>
    <w:rsid w:val="005B7FD9"/>
    <w:rsid w:val="005E3C5A"/>
    <w:rsid w:val="005F1F58"/>
    <w:rsid w:val="006105D2"/>
    <w:rsid w:val="00627DE9"/>
    <w:rsid w:val="00640CE6"/>
    <w:rsid w:val="00645E60"/>
    <w:rsid w:val="00665ED0"/>
    <w:rsid w:val="006714FB"/>
    <w:rsid w:val="006A4168"/>
    <w:rsid w:val="006A75B6"/>
    <w:rsid w:val="006C4169"/>
    <w:rsid w:val="006D12B8"/>
    <w:rsid w:val="006E2252"/>
    <w:rsid w:val="006E2464"/>
    <w:rsid w:val="006E752A"/>
    <w:rsid w:val="006F013E"/>
    <w:rsid w:val="006F12C6"/>
    <w:rsid w:val="006F56BF"/>
    <w:rsid w:val="00717B11"/>
    <w:rsid w:val="00722B37"/>
    <w:rsid w:val="00727896"/>
    <w:rsid w:val="00730EA9"/>
    <w:rsid w:val="00746764"/>
    <w:rsid w:val="00746916"/>
    <w:rsid w:val="00751099"/>
    <w:rsid w:val="007568D4"/>
    <w:rsid w:val="007619B6"/>
    <w:rsid w:val="00762470"/>
    <w:rsid w:val="00797963"/>
    <w:rsid w:val="00797A79"/>
    <w:rsid w:val="007B4F78"/>
    <w:rsid w:val="007B74A7"/>
    <w:rsid w:val="007C5DF5"/>
    <w:rsid w:val="007E3328"/>
    <w:rsid w:val="007F26E9"/>
    <w:rsid w:val="007F7388"/>
    <w:rsid w:val="00816903"/>
    <w:rsid w:val="00823CC0"/>
    <w:rsid w:val="00844B4A"/>
    <w:rsid w:val="0086583D"/>
    <w:rsid w:val="0087331C"/>
    <w:rsid w:val="00886C0E"/>
    <w:rsid w:val="008A5F68"/>
    <w:rsid w:val="008A7AE4"/>
    <w:rsid w:val="008C00F4"/>
    <w:rsid w:val="008C3860"/>
    <w:rsid w:val="008D305C"/>
    <w:rsid w:val="008E3907"/>
    <w:rsid w:val="00910E63"/>
    <w:rsid w:val="00914D13"/>
    <w:rsid w:val="00925BE3"/>
    <w:rsid w:val="00931231"/>
    <w:rsid w:val="009375FF"/>
    <w:rsid w:val="00961101"/>
    <w:rsid w:val="009C7DCA"/>
    <w:rsid w:val="009D066C"/>
    <w:rsid w:val="009D2622"/>
    <w:rsid w:val="009E42DC"/>
    <w:rsid w:val="00A047DE"/>
    <w:rsid w:val="00A1235A"/>
    <w:rsid w:val="00A2300E"/>
    <w:rsid w:val="00A25034"/>
    <w:rsid w:val="00A3353A"/>
    <w:rsid w:val="00A41D9F"/>
    <w:rsid w:val="00A46967"/>
    <w:rsid w:val="00A46F1A"/>
    <w:rsid w:val="00A53E9E"/>
    <w:rsid w:val="00A55937"/>
    <w:rsid w:val="00A577FE"/>
    <w:rsid w:val="00A720F8"/>
    <w:rsid w:val="00A73695"/>
    <w:rsid w:val="00A777FE"/>
    <w:rsid w:val="00A86831"/>
    <w:rsid w:val="00AA1378"/>
    <w:rsid w:val="00AB08D4"/>
    <w:rsid w:val="00AC27B6"/>
    <w:rsid w:val="00B067B0"/>
    <w:rsid w:val="00B2555B"/>
    <w:rsid w:val="00B37379"/>
    <w:rsid w:val="00B542A3"/>
    <w:rsid w:val="00B62901"/>
    <w:rsid w:val="00B70591"/>
    <w:rsid w:val="00B71104"/>
    <w:rsid w:val="00BB2749"/>
    <w:rsid w:val="00BC0EEC"/>
    <w:rsid w:val="00BD68C3"/>
    <w:rsid w:val="00BD7610"/>
    <w:rsid w:val="00BE5EBE"/>
    <w:rsid w:val="00BF5718"/>
    <w:rsid w:val="00BF7CA1"/>
    <w:rsid w:val="00C03233"/>
    <w:rsid w:val="00C07C3B"/>
    <w:rsid w:val="00C10021"/>
    <w:rsid w:val="00C123E1"/>
    <w:rsid w:val="00C43500"/>
    <w:rsid w:val="00C53EF3"/>
    <w:rsid w:val="00C625F1"/>
    <w:rsid w:val="00C65595"/>
    <w:rsid w:val="00C66EC0"/>
    <w:rsid w:val="00C74ADB"/>
    <w:rsid w:val="00C83F89"/>
    <w:rsid w:val="00C96109"/>
    <w:rsid w:val="00CA183B"/>
    <w:rsid w:val="00CA2DB9"/>
    <w:rsid w:val="00CB5248"/>
    <w:rsid w:val="00CB6D30"/>
    <w:rsid w:val="00CC3BE0"/>
    <w:rsid w:val="00D027E1"/>
    <w:rsid w:val="00D101C6"/>
    <w:rsid w:val="00D2343C"/>
    <w:rsid w:val="00D30395"/>
    <w:rsid w:val="00D46E6E"/>
    <w:rsid w:val="00D526AD"/>
    <w:rsid w:val="00D62293"/>
    <w:rsid w:val="00DA24EC"/>
    <w:rsid w:val="00DA7A53"/>
    <w:rsid w:val="00DB6A61"/>
    <w:rsid w:val="00DC3119"/>
    <w:rsid w:val="00DD24B4"/>
    <w:rsid w:val="00DF6ED4"/>
    <w:rsid w:val="00E0258B"/>
    <w:rsid w:val="00E076B5"/>
    <w:rsid w:val="00E139E8"/>
    <w:rsid w:val="00E240BA"/>
    <w:rsid w:val="00E41B18"/>
    <w:rsid w:val="00E61790"/>
    <w:rsid w:val="00E64FAA"/>
    <w:rsid w:val="00E6778B"/>
    <w:rsid w:val="00E7541A"/>
    <w:rsid w:val="00E818C4"/>
    <w:rsid w:val="00E92A8B"/>
    <w:rsid w:val="00E974C8"/>
    <w:rsid w:val="00EA6EE5"/>
    <w:rsid w:val="00EA7EA9"/>
    <w:rsid w:val="00EE0687"/>
    <w:rsid w:val="00F06B99"/>
    <w:rsid w:val="00F17D5C"/>
    <w:rsid w:val="00F249AD"/>
    <w:rsid w:val="00F41E86"/>
    <w:rsid w:val="00F507CD"/>
    <w:rsid w:val="00F57699"/>
    <w:rsid w:val="00F76237"/>
    <w:rsid w:val="00FA0BA1"/>
    <w:rsid w:val="00FB229B"/>
    <w:rsid w:val="00FB72FD"/>
    <w:rsid w:val="00FB7485"/>
    <w:rsid w:val="36A35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字符"/>
    <w:basedOn w:val="7"/>
    <w:link w:val="4"/>
    <w:uiPriority w:val="99"/>
    <w:rPr>
      <w:rFonts w:eastAsia="仿宋"/>
      <w:sz w:val="18"/>
      <w:szCs w:val="18"/>
    </w:rPr>
  </w:style>
  <w:style w:type="character" w:customStyle="1" w:styleId="9">
    <w:name w:val="页脚 字符"/>
    <w:basedOn w:val="7"/>
    <w:link w:val="3"/>
    <w:uiPriority w:val="99"/>
    <w:rPr>
      <w:rFonts w:eastAsia="仿宋"/>
      <w:sz w:val="18"/>
      <w:szCs w:val="18"/>
    </w:rPr>
  </w:style>
  <w:style w:type="character" w:customStyle="1" w:styleId="10">
    <w:name w:val="批注框文本 字符"/>
    <w:basedOn w:val="7"/>
    <w:link w:val="2"/>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7DDF5-1B5B-4A54-BBC7-C97868F2998A}">
  <ds:schemaRefs/>
</ds:datastoreItem>
</file>

<file path=docProps/app.xml><?xml version="1.0" encoding="utf-8"?>
<Properties xmlns="http://schemas.openxmlformats.org/officeDocument/2006/extended-properties" xmlns:vt="http://schemas.openxmlformats.org/officeDocument/2006/docPropsVTypes">
  <Template>Normal</Template>
  <Pages>14</Pages>
  <Words>848</Words>
  <Characters>4840</Characters>
  <Lines>40</Lines>
  <Paragraphs>11</Paragraphs>
  <TotalTime>1</TotalTime>
  <ScaleCrop>false</ScaleCrop>
  <LinksUpToDate>false</LinksUpToDate>
  <CharactersWithSpaces>5677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2017-06-27T07:07:00Z</dcterms:created>
  <dc:creator>2222</dc:creator>
  <cp:lastModifiedBy>告白故事</cp:lastModifiedBy>
  <cp:lastPrinted>2013-12-30T06:54:00Z</cp:lastPrinted>
  <dcterms:modified xsi:type="dcterms:W3CDTF">2019-05-16T08:44:53Z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